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rId27.jpg" ContentType="image/jpeg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Budowanie</w:t>
      </w:r>
      <w:r>
        <w:t xml:space="preserve"> </w:t>
      </w:r>
      <w:r>
        <w:t xml:space="preserve">wizerunku</w:t>
      </w:r>
      <w:r>
        <w:t xml:space="preserve"> </w:t>
      </w:r>
      <w:r>
        <w:t xml:space="preserve">menedżera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7-8 grudnia 2023 Zakopane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Szkolenie jest skierowane do wszystkich tych, którym zależy na nieskazitelnym wizerunku. Uczestnicząc w tym szkoleniu, dowiedzą się Państwo, jak:</w:t>
      </w:r>
      <w:r>
        <w:t xml:space="preserve"> </w:t>
      </w:r>
    </w:p>
    <w:p>
      <w:pPr>
        <w:pStyle w:val="Compact"/>
        <w:numPr>
          <w:numId w:val="1003"/>
          <w:ilvl w:val="0"/>
        </w:numPr>
      </w:pPr>
      <w:r>
        <w:t xml:space="preserve">wypracować dobre nawyki</w:t>
      </w:r>
      <w:r>
        <w:t xml:space="preserve"> </w:t>
      </w:r>
    </w:p>
    <w:p>
      <w:pPr>
        <w:pStyle w:val="Compact"/>
        <w:numPr>
          <w:numId w:val="1003"/>
          <w:ilvl w:val="0"/>
        </w:numPr>
      </w:pPr>
      <w:r>
        <w:t xml:space="preserve">zbudować postawę wzbudzającą szacunek, zaufanie i autorytet</w:t>
      </w:r>
    </w:p>
    <w:p>
      <w:pPr>
        <w:pStyle w:val="Compact"/>
        <w:numPr>
          <w:numId w:val="1003"/>
          <w:ilvl w:val="0"/>
        </w:numPr>
      </w:pPr>
      <w:r>
        <w:t xml:space="preserve">komunikować się skutecznie nawet w sytuacjach konfliktowych</w:t>
      </w:r>
    </w:p>
    <w:p>
      <w:pPr>
        <w:pStyle w:val="Nagwek3"/>
      </w:pPr>
      <w:bookmarkStart w:id="28" w:name="section"/>
      <w:r>
        <w:drawing>
          <wp:inline>
            <wp:extent cx="5753100" cy="274998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pliki.progressproject.pl/pliki/img/common/wiz_tmp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8"/>
    </w:p>
    <w:p>
      <w:pPr>
        <w:pStyle w:val="Nagwek2"/>
      </w:pPr>
      <w:bookmarkStart w:id="29" w:name="dominika-grodowska---trener-progress-project"/>
      <w:r>
        <w:t xml:space="preserve">Dominika Grodowska - Trener Progress Project</w:t>
      </w:r>
      <w:bookmarkEnd w:id="29"/>
    </w:p>
    <w:p>
      <w:pPr>
        <w:pStyle w:val="FirstParagraph"/>
      </w:pPr>
      <w:r>
        <w:t xml:space="preserve">Ekspert ds. etykiety, protokołu dyplomatycznego, różnic kulturowych, wizerunku oraz wystąpień publicznych. Jest certyfikowanym trenerem od 14 lat. Do zawodu trenera przygotowywała się w The Protocol School of Poland oraz w prywatnym Studiu Aktorskim im. Doroty Pomykały. Przeszkoliła tysiące osób z zakresu komunikacji, savoir-vivre’u, różnic kulturowych, dress code’u oraz wizerunku. Jest cenioną prelegentką podczas konferencji globalnych korporacji. Prowadzi również wykłady na uczelniach: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„Autoprezentacja i nauka o komunikowaniu się”</w:t>
      </w:r>
      <w:r>
        <w:t xml:space="preserve"> </w:t>
      </w:r>
      <w:r>
        <w:t xml:space="preserve">- Uniwersytet Ekonomiczny w Katowicach Wydział Dziennikarstwa Ekonomicznego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„Różnice kulturowe”</w:t>
      </w:r>
      <w:r>
        <w:t xml:space="preserve"> </w:t>
      </w:r>
      <w:r>
        <w:t xml:space="preserve">– Clark University w Warszawie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„Etykieta w biznesie”</w:t>
      </w:r>
      <w:r>
        <w:t xml:space="preserve"> </w:t>
      </w:r>
      <w:r>
        <w:t xml:space="preserve">– Uniwersytet Ekonomiczny w Katowicach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„Etykieta w biznesie”</w:t>
      </w:r>
      <w:r>
        <w:t xml:space="preserve"> </w:t>
      </w:r>
      <w:r>
        <w:t xml:space="preserve">- Akademia im. Leona Koźmińskiego w Warszawie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„Sztuka wystąpień publicznych”</w:t>
      </w:r>
      <w:r>
        <w:t xml:space="preserve"> </w:t>
      </w:r>
      <w:r>
        <w:t xml:space="preserve">– Akademia im. Leona Koźmińskiego w Warszawie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„Savoir-vivre”</w:t>
      </w:r>
      <w:r>
        <w:t xml:space="preserve"> </w:t>
      </w:r>
      <w:r>
        <w:t xml:space="preserve">– Akademia Św. Królowej Jadwigi w Poznaniu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„Wizerunek”</w:t>
      </w:r>
      <w:r>
        <w:t xml:space="preserve"> </w:t>
      </w:r>
      <w:r>
        <w:t xml:space="preserve">– Akademia Górniczo-Hutnicza w Krakowie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„Dress code”</w:t>
      </w:r>
      <w:r>
        <w:t xml:space="preserve"> </w:t>
      </w:r>
      <w:r>
        <w:t xml:space="preserve">– Collegium Civitas w Warszawie</w:t>
      </w:r>
    </w:p>
    <w:p>
      <w:pPr>
        <w:pStyle w:val="FirstParagraph"/>
      </w:pPr>
      <w:r>
        <w:t xml:space="preserve">Ekspert etykiety w programie Pytanie na Śniadanie: 2016 do teraz.Jest stałym gościem w mediach:</w:t>
      </w:r>
    </w:p>
    <w:p>
      <w:pPr>
        <w:pStyle w:val="Compact"/>
        <w:numPr>
          <w:numId w:val="1005"/>
          <w:ilvl w:val="0"/>
        </w:numPr>
      </w:pPr>
      <w:r>
        <w:t xml:space="preserve">Ekspert etykiety w Radio Dla Ciebie RDC – 2013-2016.</w:t>
      </w:r>
    </w:p>
    <w:p>
      <w:pPr>
        <w:pStyle w:val="Compact"/>
        <w:numPr>
          <w:numId w:val="1005"/>
          <w:ilvl w:val="0"/>
        </w:numPr>
      </w:pPr>
      <w:r>
        <w:t xml:space="preserve">Współpraca z magazynem Joy: 2016 – 2017.</w:t>
      </w:r>
    </w:p>
    <w:p>
      <w:pPr>
        <w:pStyle w:val="Compact"/>
        <w:numPr>
          <w:numId w:val="1005"/>
          <w:ilvl w:val="0"/>
        </w:numPr>
      </w:pPr>
      <w:r>
        <w:t xml:space="preserve">Autorka artykułów dla miesięcznika „Food Service”.</w:t>
      </w:r>
    </w:p>
    <w:p>
      <w:pPr>
        <w:pStyle w:val="Compact"/>
        <w:numPr>
          <w:numId w:val="1005"/>
          <w:ilvl w:val="0"/>
        </w:numPr>
      </w:pPr>
      <w:r>
        <w:t xml:space="preserve">Autorka poradnika „Savoir-vivre służbowy” – 2016.</w:t>
      </w:r>
    </w:p>
    <w:p>
      <w:pPr>
        <w:pStyle w:val="Compact"/>
        <w:numPr>
          <w:numId w:val="1005"/>
          <w:ilvl w:val="0"/>
        </w:numPr>
      </w:pPr>
      <w:r>
        <w:t xml:space="preserve">Gość w TVP info, TVP 1, TVP 2 – 2015, 2016, 2017,</w:t>
      </w:r>
    </w:p>
    <w:p>
      <w:pPr>
        <w:pStyle w:val="Compact"/>
        <w:numPr>
          <w:numId w:val="1005"/>
          <w:ilvl w:val="0"/>
        </w:numPr>
      </w:pPr>
      <w:r>
        <w:t xml:space="preserve">(relacja na żywo ślubu księcia Harry’ego i Meghan Markle) 2018.</w:t>
      </w:r>
    </w:p>
    <w:p>
      <w:pPr>
        <w:pStyle w:val="Compact"/>
        <w:numPr>
          <w:numId w:val="1005"/>
          <w:ilvl w:val="0"/>
        </w:numPr>
      </w:pPr>
      <w:r>
        <w:t xml:space="preserve">Gość w TVN „Dzień dobry TVN” 2016, 2018.</w:t>
      </w:r>
    </w:p>
    <w:p>
      <w:pPr>
        <w:pStyle w:val="Compact"/>
        <w:numPr>
          <w:numId w:val="1005"/>
          <w:ilvl w:val="0"/>
        </w:numPr>
      </w:pPr>
      <w:r>
        <w:t xml:space="preserve">Stała współpraca miesięcznikiem „Kadra Kierownicza w Administracji” w latach 2011 – 2012.</w:t>
      </w:r>
    </w:p>
    <w:p>
      <w:pPr>
        <w:pStyle w:val="Compact"/>
        <w:numPr>
          <w:numId w:val="1005"/>
          <w:ilvl w:val="0"/>
        </w:numPr>
      </w:pPr>
      <w:r>
        <w:t xml:space="preserve">Autorka książki: „Savoir-vivre w urzędzie”, Wrocław, 2012.</w:t>
      </w:r>
    </w:p>
    <w:p>
      <w:pPr>
        <w:pStyle w:val="Compact"/>
        <w:numPr>
          <w:numId w:val="1005"/>
          <w:ilvl w:val="0"/>
        </w:numPr>
      </w:pPr>
      <w:r>
        <w:t xml:space="preserve">W latach 2008-2009 prowadziła cotygodniowy program na żywo poruszający zagadnienia savoir-vivre’u na antenie radio-telewizji TVS.</w:t>
      </w:r>
    </w:p>
    <w:p>
      <w:pPr>
        <w:pStyle w:val="Nagwek2"/>
      </w:pPr>
      <w:bookmarkStart w:id="30" w:name="dr-irena-kamińska-radomska---trener-progress-project"/>
      <w:r>
        <w:t xml:space="preserve">Dr Irena Kamińska-Radomska - Trener Progress Project</w:t>
      </w:r>
      <w:bookmarkEnd w:id="30"/>
    </w:p>
    <w:p>
      <w:pPr>
        <w:pStyle w:val="FirstParagraph"/>
      </w:pPr>
      <w:r>
        <w:t xml:space="preserve">Wykładowca i trener; Wiedzę z zakresu międzynarodowego protokołu i etykiety biznesu oraz wystąpień publicznych zdobywała w The Protocol School of Washington w Waszyngtonie pod okiem największych ekspertów, m.in. u Johnatana Mollera – szefa protokołu Białego Domu, uzyskując certyfikat i międzynarodową licencję. Przeszkoliła około dwudziestu tysięcy osób z zakresu komunikacji międzyludzkiej, etykiety biznesu, dress code’u, międzykulturowego protokołu oraz wystąpień publicznych.</w:t>
      </w:r>
    </w:p>
    <w:p>
      <w:pPr>
        <w:pStyle w:val="Tekstpodstawowy"/>
      </w:pPr>
      <w:r>
        <w:t xml:space="preserve">Mentorka w cyklicznym programie „Projekt Lady” (TVN). Gość/ekspert TVN, TVN 24, TVN 24 BiŚ, TYP1, TVP2, TVP INFO, Polsat News, RMF FM, radiowej „Trójki”, Radia RDC, Programu I Polskiego Radia, Polskiego Radia 24, Polskiego Radia 1030 Chicago.</w:t>
      </w:r>
      <w:r>
        <w:br w:type="textWrapping"/>
      </w:r>
      <w:r>
        <w:t xml:space="preserve">Wykładowca na Dziennikarstwie w Uniwersytecie Ekonomicznym w Katowicach oraz w Akademii Leona Koźmińskiego. Prowadziła zajęcia z komunikacji międzykulturowej oraz protokołu międzynarodowego dla studentów z całego świata.</w:t>
      </w:r>
    </w:p>
    <w:p>
      <w:pPr>
        <w:pStyle w:val="Tekstpodstawowy"/>
      </w:pPr>
      <w:r>
        <w:t xml:space="preserve">Autorka kilkuset artykułów wydawanych w Polsce i USA oraz pięciu książek: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„Etykieta biznesu, czyli międzynarodowy język kurtuazji”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„Kultura biznesu. Normy i formy”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„Współczesna etykieta biznesu w codziennej praktyce w Polsce”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„Dress code dla kobiet” (współautorka)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„Jak zostać damą” (współautorka)</w:t>
      </w:r>
    </w:p>
    <w:p>
      <w:pPr>
        <w:pStyle w:val="Nagwek1"/>
      </w:pPr>
      <w:bookmarkStart w:id="31" w:name="czas-trwania"/>
      <w:r>
        <w:t xml:space="preserve">Czas trwania</w:t>
      </w:r>
      <w:bookmarkEnd w:id="31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32" w:name="program-szkolenia"/>
      <w:r>
        <w:t xml:space="preserve">Program szkolenia</w:t>
      </w:r>
      <w:bookmarkEnd w:id="32"/>
    </w:p>
    <w:p>
      <w:pPr>
        <w:pStyle w:val="FirstParagraph"/>
      </w:pPr>
      <w:r>
        <w:rPr>
          <w:b/>
        </w:rPr>
        <w:t xml:space="preserve">Moduł I</w:t>
      </w:r>
    </w:p>
    <w:p>
      <w:pPr>
        <w:pStyle w:val="Tekstpodstawowy"/>
      </w:pPr>
      <w:r>
        <w:rPr>
          <w:b/>
        </w:rPr>
        <w:t xml:space="preserve">Autoprezentacja i komunikacja w biznesie</w:t>
      </w:r>
    </w:p>
    <w:p>
      <w:pPr>
        <w:pStyle w:val="Tekstpodstawowy"/>
      </w:pPr>
      <w:r>
        <w:t xml:space="preserve">Zdarza się, że przy dobrych intencjach – nieświadomie – pracownicy mogą wywołać niezadowolenie klienta.</w:t>
      </w:r>
    </w:p>
    <w:p>
      <w:pPr>
        <w:pStyle w:val="Tekstpodstawowy"/>
      </w:pPr>
      <w:r>
        <w:t xml:space="preserve">Czasem wystarczy zakłócić kolejność uścisków dłoni albo zwrócić się w nieodpowiedniej formie, żeby klient nagle  zmienił zdanie o firmie. Przyczyny jednak nie poda…</w:t>
      </w:r>
    </w:p>
    <w:p>
      <w:pPr>
        <w:pStyle w:val="Tekstpodstawowy"/>
      </w:pPr>
      <w:r>
        <w:rPr>
          <w:b/>
        </w:rPr>
        <w:t xml:space="preserve">Tematy:</w:t>
      </w:r>
    </w:p>
    <w:p>
      <w:pPr>
        <w:pStyle w:val="Compact"/>
        <w:numPr>
          <w:numId w:val="1007"/>
          <w:ilvl w:val="0"/>
        </w:numPr>
      </w:pPr>
      <w:r>
        <w:t xml:space="preserve">Powitania, moc pierwszego wrażenia</w:t>
      </w:r>
    </w:p>
    <w:p>
      <w:pPr>
        <w:pStyle w:val="Compact"/>
        <w:numPr>
          <w:numId w:val="1008"/>
          <w:ilvl w:val="1"/>
        </w:numPr>
      </w:pPr>
      <w:r>
        <w:t xml:space="preserve">Uścisk dłoni</w:t>
      </w:r>
    </w:p>
    <w:p>
      <w:pPr>
        <w:pStyle w:val="Compact"/>
        <w:numPr>
          <w:numId w:val="1008"/>
          <w:ilvl w:val="1"/>
        </w:numPr>
      </w:pPr>
      <w:r>
        <w:t xml:space="preserve">Pierwszeństwo powitań</w:t>
      </w:r>
    </w:p>
    <w:p>
      <w:pPr>
        <w:pStyle w:val="Compact"/>
        <w:numPr>
          <w:numId w:val="1008"/>
          <w:ilvl w:val="1"/>
        </w:numPr>
      </w:pPr>
      <w:r>
        <w:t xml:space="preserve">Rodzaje uścisków dłoni</w:t>
      </w:r>
    </w:p>
    <w:p>
      <w:pPr>
        <w:pStyle w:val="Compact"/>
        <w:numPr>
          <w:numId w:val="1008"/>
          <w:ilvl w:val="1"/>
        </w:numPr>
      </w:pPr>
      <w:r>
        <w:t xml:space="preserve">Jak się uchronić przed natarczywym potrząsaniem</w:t>
      </w:r>
    </w:p>
    <w:p>
      <w:pPr>
        <w:pStyle w:val="Compact"/>
        <w:numPr>
          <w:numId w:val="1008"/>
          <w:ilvl w:val="1"/>
        </w:numPr>
      </w:pPr>
      <w:r>
        <w:t xml:space="preserve">Postawa</w:t>
      </w:r>
    </w:p>
    <w:p>
      <w:pPr>
        <w:pStyle w:val="Compact"/>
        <w:numPr>
          <w:numId w:val="1008"/>
          <w:ilvl w:val="1"/>
        </w:numPr>
      </w:pPr>
      <w:r>
        <w:t xml:space="preserve">Intonacja</w:t>
      </w:r>
    </w:p>
    <w:p>
      <w:pPr>
        <w:pStyle w:val="Compact"/>
        <w:numPr>
          <w:numId w:val="1008"/>
          <w:ilvl w:val="1"/>
        </w:numPr>
      </w:pPr>
      <w:r>
        <w:t xml:space="preserve">Kontakt wzrokowy</w:t>
      </w:r>
    </w:p>
    <w:p>
      <w:pPr>
        <w:pStyle w:val="Compact"/>
        <w:numPr>
          <w:numId w:val="1008"/>
          <w:ilvl w:val="1"/>
        </w:numPr>
      </w:pPr>
      <w:r>
        <w:t xml:space="preserve">Dystans</w:t>
      </w:r>
    </w:p>
    <w:p>
      <w:pPr>
        <w:pStyle w:val="Compact"/>
        <w:numPr>
          <w:numId w:val="1007"/>
          <w:ilvl w:val="0"/>
        </w:numPr>
      </w:pPr>
      <w:r>
        <w:t xml:space="preserve">Wizytówka</w:t>
      </w:r>
    </w:p>
    <w:p>
      <w:pPr>
        <w:pStyle w:val="Compact"/>
        <w:numPr>
          <w:numId w:val="1009"/>
          <w:ilvl w:val="1"/>
        </w:numPr>
      </w:pPr>
      <w:r>
        <w:t xml:space="preserve">Formy przekazywania i otrzymywania wizytówek</w:t>
      </w:r>
    </w:p>
    <w:p>
      <w:pPr>
        <w:pStyle w:val="Compact"/>
        <w:numPr>
          <w:numId w:val="1009"/>
          <w:ilvl w:val="1"/>
        </w:numPr>
      </w:pPr>
      <w:r>
        <w:t xml:space="preserve">Miejsce na wizytówki</w:t>
      </w:r>
    </w:p>
    <w:p>
      <w:pPr>
        <w:pStyle w:val="Compact"/>
        <w:numPr>
          <w:numId w:val="1009"/>
          <w:ilvl w:val="1"/>
        </w:numPr>
      </w:pPr>
      <w:r>
        <w:t xml:space="preserve">Brak wizytówek</w:t>
      </w:r>
    </w:p>
    <w:p>
      <w:pPr>
        <w:pStyle w:val="Compact"/>
        <w:numPr>
          <w:numId w:val="1009"/>
          <w:ilvl w:val="1"/>
        </w:numPr>
      </w:pPr>
      <w:r>
        <w:t xml:space="preserve">Dopisywanie informacji</w:t>
      </w:r>
    </w:p>
    <w:p>
      <w:pPr>
        <w:pStyle w:val="Compact"/>
        <w:numPr>
          <w:numId w:val="1009"/>
          <w:ilvl w:val="1"/>
        </w:numPr>
      </w:pPr>
      <w:r>
        <w:t xml:space="preserve">Znaki na wizytówkach</w:t>
      </w:r>
    </w:p>
    <w:p>
      <w:pPr>
        <w:pStyle w:val="Compact"/>
        <w:numPr>
          <w:numId w:val="1007"/>
          <w:ilvl w:val="0"/>
        </w:numPr>
      </w:pPr>
      <w:r>
        <w:t xml:space="preserve">Przedstawianie osób</w:t>
      </w:r>
    </w:p>
    <w:p>
      <w:pPr>
        <w:pStyle w:val="Compact"/>
        <w:numPr>
          <w:numId w:val="1010"/>
          <w:ilvl w:val="1"/>
        </w:numPr>
      </w:pPr>
      <w:r>
        <w:t xml:space="preserve">Formuły</w:t>
      </w:r>
    </w:p>
    <w:p>
      <w:pPr>
        <w:pStyle w:val="Compact"/>
        <w:numPr>
          <w:numId w:val="1010"/>
          <w:ilvl w:val="1"/>
        </w:numPr>
      </w:pPr>
      <w:r>
        <w:t xml:space="preserve">Komunikacja niewerbalna</w:t>
      </w:r>
    </w:p>
    <w:p>
      <w:pPr>
        <w:pStyle w:val="Compact"/>
        <w:numPr>
          <w:numId w:val="1010"/>
          <w:ilvl w:val="1"/>
        </w:numPr>
      </w:pPr>
      <w:r>
        <w:t xml:space="preserve">Precedencja</w:t>
      </w:r>
    </w:p>
    <w:p>
      <w:pPr>
        <w:pStyle w:val="Compact"/>
        <w:numPr>
          <w:numId w:val="1010"/>
          <w:ilvl w:val="1"/>
        </w:numPr>
      </w:pPr>
      <w:r>
        <w:t xml:space="preserve">Tytułowanie kurtuazyjne, naukowe i służbowe</w:t>
      </w:r>
    </w:p>
    <w:p>
      <w:pPr>
        <w:pStyle w:val="Compact"/>
        <w:numPr>
          <w:numId w:val="1010"/>
          <w:ilvl w:val="1"/>
        </w:numPr>
      </w:pPr>
      <w:r>
        <w:t xml:space="preserve">Formy adresatywne</w:t>
      </w:r>
    </w:p>
    <w:p>
      <w:pPr>
        <w:pStyle w:val="Compact"/>
        <w:numPr>
          <w:numId w:val="1010"/>
          <w:ilvl w:val="1"/>
        </w:numPr>
      </w:pPr>
      <w:r>
        <w:t xml:space="preserve">Zapamiętywanie imion i nazwisk</w:t>
      </w:r>
    </w:p>
    <w:p>
      <w:pPr>
        <w:pStyle w:val="FirstParagraph"/>
      </w:pPr>
      <w:r>
        <w:t xml:space="preserve"> </w:t>
      </w:r>
    </w:p>
    <w:p>
      <w:pPr>
        <w:pStyle w:val="Tekstpodstawowy"/>
      </w:pPr>
      <w:r>
        <w:rPr>
          <w:b/>
        </w:rPr>
        <w:t xml:space="preserve">Moduł II</w:t>
      </w:r>
    </w:p>
    <w:p>
      <w:pPr>
        <w:pStyle w:val="Tekstpodstawowy"/>
      </w:pPr>
      <w:r>
        <w:rPr>
          <w:b/>
        </w:rPr>
        <w:t xml:space="preserve">Spotkania biznesowe przy stole</w:t>
      </w:r>
    </w:p>
    <w:p>
      <w:pPr>
        <w:pStyle w:val="Tekstpodstawowy"/>
      </w:pPr>
      <w:r>
        <w:t xml:space="preserve">Perfekcyjne maniery przy stole, umiejętność zamawiania i akceptowania win,  prowadzenia inteligentnej rozmowy oraz eleganckiego regulowania rachunku to tylko kilka przykładów na skuteczne budowanie relacji z klientami.</w:t>
      </w:r>
    </w:p>
    <w:p>
      <w:pPr>
        <w:pStyle w:val="Tekstpodstawowy"/>
      </w:pPr>
      <w:r>
        <w:t xml:space="preserve">Podczas tej sesji pokażemy, jak tworzyć atmosferę, w której na deser będą podpisane kontrakty.</w:t>
      </w:r>
    </w:p>
    <w:p>
      <w:pPr>
        <w:pStyle w:val="Tekstpodstawowy"/>
      </w:pPr>
      <w:r>
        <w:rPr>
          <w:b/>
        </w:rPr>
        <w:t xml:space="preserve">Tematy:</w:t>
      </w:r>
    </w:p>
    <w:p>
      <w:pPr>
        <w:pStyle w:val="Compact"/>
        <w:numPr>
          <w:numId w:val="1011"/>
          <w:ilvl w:val="0"/>
        </w:numPr>
      </w:pPr>
      <w:r>
        <w:t xml:space="preserve">Zasady precedencji na przyjęciach</w:t>
      </w:r>
    </w:p>
    <w:p>
      <w:pPr>
        <w:pStyle w:val="Compact"/>
        <w:numPr>
          <w:numId w:val="1011"/>
          <w:ilvl w:val="0"/>
        </w:numPr>
      </w:pPr>
      <w:r>
        <w:t xml:space="preserve">Nakrycie stołu – oficjalne przyjęcie</w:t>
      </w:r>
    </w:p>
    <w:p>
      <w:pPr>
        <w:pStyle w:val="Compact"/>
        <w:numPr>
          <w:numId w:val="1011"/>
          <w:ilvl w:val="0"/>
        </w:numPr>
      </w:pPr>
      <w:r>
        <w:t xml:space="preserve">Przegląd sztućców</w:t>
      </w:r>
    </w:p>
    <w:p>
      <w:pPr>
        <w:pStyle w:val="Compact"/>
        <w:numPr>
          <w:numId w:val="1011"/>
          <w:ilvl w:val="0"/>
        </w:numPr>
      </w:pPr>
      <w:r>
        <w:t xml:space="preserve">Zajmowanie miejsca</w:t>
      </w:r>
    </w:p>
    <w:p>
      <w:pPr>
        <w:pStyle w:val="Compact"/>
        <w:numPr>
          <w:numId w:val="1011"/>
          <w:ilvl w:val="0"/>
        </w:numPr>
      </w:pPr>
      <w:r>
        <w:t xml:space="preserve">Postawa przy stole i wstawanie od stołu w trakcie posiłku</w:t>
      </w:r>
    </w:p>
    <w:p>
      <w:pPr>
        <w:pStyle w:val="Compact"/>
        <w:numPr>
          <w:numId w:val="1011"/>
          <w:ilvl w:val="0"/>
        </w:numPr>
      </w:pPr>
      <w:r>
        <w:t xml:space="preserve">Serwetki (przed, w trakcie posiłku i po)</w:t>
      </w:r>
    </w:p>
    <w:p>
      <w:pPr>
        <w:pStyle w:val="Compact"/>
        <w:numPr>
          <w:numId w:val="1011"/>
          <w:ilvl w:val="0"/>
        </w:numPr>
      </w:pPr>
      <w:r>
        <w:t xml:space="preserve">Kiedy można zacząć jeść i wznosić toasty</w:t>
      </w:r>
    </w:p>
    <w:p>
      <w:pPr>
        <w:pStyle w:val="Compact"/>
        <w:numPr>
          <w:numId w:val="1011"/>
          <w:ilvl w:val="0"/>
        </w:numPr>
      </w:pPr>
      <w:r>
        <w:t xml:space="preserve">Small talk – prowadzenie rozmów przy stole; tematy „zakazane”</w:t>
      </w:r>
    </w:p>
    <w:p>
      <w:pPr>
        <w:pStyle w:val="Compact"/>
        <w:numPr>
          <w:numId w:val="1011"/>
          <w:ilvl w:val="0"/>
        </w:numPr>
      </w:pPr>
      <w:r>
        <w:t xml:space="preserve">Obowiązki gospodarzy\gości</w:t>
      </w:r>
    </w:p>
    <w:p>
      <w:pPr>
        <w:pStyle w:val="Compact"/>
        <w:numPr>
          <w:numId w:val="1011"/>
          <w:ilvl w:val="0"/>
        </w:numPr>
      </w:pPr>
      <w:r>
        <w:t xml:space="preserve">Jak jeść trudne potrawy (desery, homary, małże...)</w:t>
      </w:r>
    </w:p>
    <w:p>
      <w:pPr>
        <w:pStyle w:val="Compact"/>
        <w:numPr>
          <w:numId w:val="1011"/>
          <w:ilvl w:val="0"/>
        </w:numPr>
      </w:pPr>
      <w:r>
        <w:t xml:space="preserve">Przyjęcia bufetowo-zasiadane</w:t>
      </w:r>
    </w:p>
    <w:p>
      <w:pPr>
        <w:pStyle w:val="Compact"/>
        <w:numPr>
          <w:numId w:val="1011"/>
          <w:ilvl w:val="0"/>
        </w:numPr>
      </w:pPr>
      <w:r>
        <w:t xml:space="preserve">Maniery przy stole, jak wybrnąć z kłopotliwej sytuacji</w:t>
      </w:r>
    </w:p>
    <w:p>
      <w:pPr>
        <w:pStyle w:val="Compact"/>
        <w:numPr>
          <w:numId w:val="1011"/>
          <w:ilvl w:val="0"/>
        </w:numPr>
      </w:pPr>
      <w:r>
        <w:t xml:space="preserve">Najczęściej popełniane faux pas</w:t>
      </w:r>
    </w:p>
    <w:p>
      <w:pPr>
        <w:pStyle w:val="Compact"/>
        <w:numPr>
          <w:numId w:val="1011"/>
          <w:ilvl w:val="0"/>
        </w:numPr>
      </w:pPr>
      <w:r>
        <w:t xml:space="preserve">Etykieta wznoszenia toastów</w:t>
      </w:r>
    </w:p>
    <w:p>
      <w:pPr>
        <w:pStyle w:val="Compact"/>
        <w:numPr>
          <w:numId w:val="1011"/>
          <w:ilvl w:val="0"/>
        </w:numPr>
      </w:pPr>
      <w:r>
        <w:t xml:space="preserve">Jak i kiedy sięgać po kieliszek</w:t>
      </w:r>
    </w:p>
    <w:p>
      <w:pPr>
        <w:pStyle w:val="Compact"/>
        <w:numPr>
          <w:numId w:val="1011"/>
          <w:ilvl w:val="0"/>
        </w:numPr>
      </w:pPr>
      <w:r>
        <w:t xml:space="preserve">Zasady udanego przyjęcia na stojąco:</w:t>
      </w:r>
    </w:p>
    <w:p>
      <w:pPr>
        <w:pStyle w:val="Compact"/>
        <w:numPr>
          <w:numId w:val="1012"/>
          <w:ilvl w:val="1"/>
        </w:numPr>
      </w:pPr>
      <w:r>
        <w:t xml:space="preserve">Przygotowanie ze strony gościa i gospodarza</w:t>
      </w:r>
    </w:p>
    <w:p>
      <w:pPr>
        <w:pStyle w:val="Compact"/>
        <w:numPr>
          <w:numId w:val="1012"/>
          <w:ilvl w:val="1"/>
        </w:numPr>
      </w:pPr>
      <w:r>
        <w:t xml:space="preserve">Nawiązywanie nowych kontaktów, do kogo można podejść</w:t>
      </w:r>
    </w:p>
    <w:p>
      <w:pPr>
        <w:pStyle w:val="Compact"/>
        <w:numPr>
          <w:numId w:val="1012"/>
          <w:ilvl w:val="1"/>
        </w:numPr>
      </w:pPr>
      <w:r>
        <w:t xml:space="preserve">Zagajenie oraz tematy, których należy unikać, sztuka small talk’u</w:t>
      </w:r>
    </w:p>
    <w:p>
      <w:pPr>
        <w:pStyle w:val="Compact"/>
        <w:numPr>
          <w:numId w:val="1012"/>
          <w:ilvl w:val="1"/>
        </w:numPr>
      </w:pPr>
      <w:r>
        <w:t xml:space="preserve">Rotowanie</w:t>
      </w:r>
    </w:p>
    <w:p>
      <w:pPr>
        <w:pStyle w:val="Compact"/>
        <w:numPr>
          <w:numId w:val="1012"/>
          <w:ilvl w:val="1"/>
        </w:numPr>
      </w:pPr>
      <w:r>
        <w:t xml:space="preserve">Korzystanie z bufetu</w:t>
      </w:r>
    </w:p>
    <w:p>
      <w:pPr>
        <w:pStyle w:val="Compact"/>
        <w:numPr>
          <w:numId w:val="1012"/>
          <w:ilvl w:val="1"/>
        </w:numPr>
      </w:pPr>
      <w:r>
        <w:t xml:space="preserve">Jak zrobić „mocne” wejście, zdobyć autorytet</w:t>
      </w:r>
    </w:p>
    <w:p>
      <w:pPr>
        <w:pStyle w:val="FirstParagraph"/>
      </w:pPr>
      <w:r>
        <w:t xml:space="preserve"> </w:t>
      </w:r>
    </w:p>
    <w:p>
      <w:pPr>
        <w:pStyle w:val="Tekstpodstawowy"/>
      </w:pPr>
      <w:r>
        <w:rPr>
          <w:b/>
        </w:rPr>
        <w:t xml:space="preserve">Moduł III</w:t>
      </w:r>
    </w:p>
    <w:p>
      <w:pPr>
        <w:pStyle w:val="Tekstpodstawowy"/>
      </w:pPr>
      <w:r>
        <w:rPr>
          <w:b/>
        </w:rPr>
        <w:t xml:space="preserve">Budowane renomy przez wizerunek</w:t>
      </w:r>
    </w:p>
    <w:p>
      <w:pPr>
        <w:pStyle w:val="Tekstpodstawowy"/>
      </w:pPr>
      <w:r>
        <w:t xml:space="preserve">Świadomość tego, że jest się dobrze ubranym, daje ogromną dawkę spokoju i pewności siebie.</w:t>
      </w:r>
    </w:p>
    <w:p>
      <w:pPr>
        <w:pStyle w:val="Tekstpodstawowy"/>
      </w:pPr>
      <w:r>
        <w:t xml:space="preserve">Poza tym wygląd zewnętrzny jest silnym narzędziem komunikacji. Podczas tej sesji szkolenia skupimy się na tym, aby wyglądać pięknie, jak również, aby strój „mówił” to, co faktycznie chcielibyśmy o sobie powiedzieć.</w:t>
      </w:r>
    </w:p>
    <w:p>
      <w:pPr>
        <w:pStyle w:val="Tekstpodstawowy"/>
      </w:pPr>
      <w:r>
        <w:rPr>
          <w:b/>
        </w:rPr>
        <w:t xml:space="preserve">Tematy:</w:t>
      </w:r>
    </w:p>
    <w:p>
      <w:pPr>
        <w:pStyle w:val="Compact"/>
        <w:numPr>
          <w:numId w:val="1013"/>
          <w:ilvl w:val="0"/>
        </w:numPr>
      </w:pPr>
      <w:r>
        <w:t xml:space="preserve">Wygląd w zgodzie z osobowością</w:t>
      </w:r>
    </w:p>
    <w:p>
      <w:pPr>
        <w:pStyle w:val="Compact"/>
        <w:numPr>
          <w:numId w:val="1013"/>
          <w:ilvl w:val="0"/>
        </w:numPr>
      </w:pPr>
      <w:r>
        <w:t xml:space="preserve">Budowanie autorytetu poprzez wizerunek</w:t>
      </w:r>
    </w:p>
    <w:p>
      <w:pPr>
        <w:pStyle w:val="Compact"/>
        <w:numPr>
          <w:numId w:val="1013"/>
          <w:ilvl w:val="0"/>
        </w:numPr>
      </w:pPr>
      <w:r>
        <w:t xml:space="preserve">Wizerunek wzbudzający zaufanie</w:t>
      </w:r>
    </w:p>
    <w:p>
      <w:pPr>
        <w:pStyle w:val="Compact"/>
        <w:numPr>
          <w:numId w:val="1013"/>
          <w:ilvl w:val="0"/>
        </w:numPr>
      </w:pPr>
      <w:r>
        <w:t xml:space="preserve">Zasady doboru stroju i akcesoriów do okazji</w:t>
      </w:r>
    </w:p>
    <w:p>
      <w:pPr>
        <w:pStyle w:val="Compact"/>
        <w:numPr>
          <w:numId w:val="1013"/>
          <w:ilvl w:val="0"/>
        </w:numPr>
      </w:pPr>
      <w:r>
        <w:t xml:space="preserve">Jak się ubrać, gdy brak informacji na zaproszeniu</w:t>
      </w:r>
    </w:p>
    <w:p>
      <w:pPr>
        <w:pStyle w:val="Compact"/>
        <w:numPr>
          <w:numId w:val="1013"/>
          <w:ilvl w:val="0"/>
        </w:numPr>
      </w:pPr>
      <w:r>
        <w:t xml:space="preserve">Strój formalny, półformalny i nieformalny</w:t>
      </w:r>
    </w:p>
    <w:p>
      <w:pPr>
        <w:pStyle w:val="Compact"/>
        <w:numPr>
          <w:numId w:val="1013"/>
          <w:ilvl w:val="0"/>
        </w:numPr>
      </w:pPr>
      <w:r>
        <w:t xml:space="preserve">Strój wizytowy a pora dnia</w:t>
      </w:r>
    </w:p>
    <w:p>
      <w:pPr>
        <w:pStyle w:val="Compact"/>
        <w:numPr>
          <w:numId w:val="1013"/>
          <w:ilvl w:val="0"/>
        </w:numPr>
      </w:pPr>
      <w:r>
        <w:t xml:space="preserve">Strój wieczorowy dla kobiety i mężczyzny</w:t>
      </w:r>
    </w:p>
    <w:p>
      <w:pPr>
        <w:pStyle w:val="Compact"/>
        <w:numPr>
          <w:numId w:val="1013"/>
          <w:ilvl w:val="0"/>
        </w:numPr>
      </w:pPr>
      <w:r>
        <w:t xml:space="preserve">Sportowa elegancja (business casual/casual smart)</w:t>
      </w:r>
    </w:p>
    <w:p>
      <w:pPr>
        <w:pStyle w:val="Compact"/>
        <w:numPr>
          <w:numId w:val="1013"/>
          <w:ilvl w:val="0"/>
        </w:numPr>
      </w:pPr>
      <w:r>
        <w:t xml:space="preserve">Strój sportowy (casual)</w:t>
      </w:r>
    </w:p>
    <w:p>
      <w:pPr>
        <w:pStyle w:val="Compact"/>
        <w:numPr>
          <w:numId w:val="1013"/>
          <w:ilvl w:val="0"/>
        </w:numPr>
      </w:pPr>
      <w:r>
        <w:t xml:space="preserve">Dress code i moda – czy mogą współistnieć</w:t>
      </w:r>
    </w:p>
    <w:p>
      <w:pPr>
        <w:pStyle w:val="Compact"/>
        <w:numPr>
          <w:numId w:val="1013"/>
          <w:ilvl w:val="0"/>
        </w:numPr>
      </w:pPr>
      <w:r>
        <w:t xml:space="preserve">Różnice między strojem biznesowym a ubiorem poza pracą</w:t>
      </w:r>
    </w:p>
    <w:p>
      <w:pPr>
        <w:pStyle w:val="Compact"/>
        <w:numPr>
          <w:numId w:val="1013"/>
          <w:ilvl w:val="0"/>
        </w:numPr>
      </w:pPr>
      <w:r>
        <w:t xml:space="preserve">Spojrzenie z daleka – sylwetka a ubranie</w:t>
      </w:r>
    </w:p>
    <w:p>
      <w:pPr>
        <w:pStyle w:val="Compact"/>
        <w:numPr>
          <w:numId w:val="1013"/>
          <w:ilvl w:val="0"/>
        </w:numPr>
      </w:pPr>
      <w:r>
        <w:t xml:space="preserve">Jak poprawić to, czym obdarzyła nas natura</w:t>
      </w:r>
    </w:p>
    <w:p>
      <w:pPr>
        <w:pStyle w:val="Compact"/>
        <w:numPr>
          <w:numId w:val="1013"/>
          <w:ilvl w:val="0"/>
        </w:numPr>
      </w:pPr>
      <w:r>
        <w:t xml:space="preserve">Jak wypracować swój własny styl</w:t>
      </w:r>
    </w:p>
    <w:p>
      <w:pPr>
        <w:pStyle w:val="Compact"/>
        <w:numPr>
          <w:numId w:val="1013"/>
          <w:ilvl w:val="0"/>
        </w:numPr>
      </w:pPr>
      <w:r>
        <w:t xml:space="preserve">Związek ubioru z osobowością i typem wykonywanej działalności</w:t>
      </w:r>
    </w:p>
    <w:p>
      <w:pPr>
        <w:pStyle w:val="Compact"/>
        <w:numPr>
          <w:numId w:val="1013"/>
          <w:ilvl w:val="0"/>
        </w:numPr>
      </w:pPr>
      <w:r>
        <w:t xml:space="preserve">Spojrzenie z bliska – analiza kolorystyczna naturalnego wyglądu</w:t>
      </w:r>
    </w:p>
    <w:p>
      <w:pPr>
        <w:pStyle w:val="Compact"/>
        <w:numPr>
          <w:numId w:val="1013"/>
          <w:ilvl w:val="0"/>
        </w:numPr>
      </w:pPr>
      <w:r>
        <w:t xml:space="preserve">Jak dobrać fryzurę</w:t>
      </w:r>
    </w:p>
    <w:p>
      <w:pPr>
        <w:pStyle w:val="Compact"/>
        <w:numPr>
          <w:numId w:val="1013"/>
          <w:ilvl w:val="0"/>
        </w:numPr>
      </w:pPr>
      <w:r>
        <w:t xml:space="preserve">Buty – podstawa garderoby i stylu</w:t>
      </w:r>
    </w:p>
    <w:p>
      <w:pPr>
        <w:pStyle w:val="Compact"/>
        <w:numPr>
          <w:numId w:val="1013"/>
          <w:ilvl w:val="0"/>
        </w:numPr>
      </w:pPr>
      <w:r>
        <w:t xml:space="preserve">Kompletna garderoba służbowa, jak komponować garderobę</w:t>
      </w:r>
    </w:p>
    <w:p>
      <w:pPr>
        <w:pStyle w:val="Compact"/>
        <w:numPr>
          <w:numId w:val="1013"/>
          <w:ilvl w:val="0"/>
        </w:numPr>
      </w:pPr>
      <w:r>
        <w:t xml:space="preserve">Strój typu „casual smart” w pracy</w:t>
      </w:r>
    </w:p>
    <w:p>
      <w:pPr>
        <w:pStyle w:val="Compact"/>
        <w:numPr>
          <w:numId w:val="1013"/>
          <w:ilvl w:val="0"/>
        </w:numPr>
      </w:pPr>
      <w:r>
        <w:t xml:space="preserve">Podróże służbowe – co powinno znaleźć się w walizce</w:t>
      </w:r>
    </w:p>
    <w:p>
      <w:pPr>
        <w:pStyle w:val="Compact"/>
        <w:numPr>
          <w:numId w:val="1013"/>
          <w:ilvl w:val="0"/>
        </w:numPr>
      </w:pPr>
      <w:r>
        <w:t xml:space="preserve">Czy warto kupować u jednego producenta</w:t>
      </w:r>
    </w:p>
    <w:p>
      <w:pPr>
        <w:pStyle w:val="FirstParagraph"/>
      </w:pPr>
      <w:r>
        <w:t xml:space="preserve"> </w:t>
      </w:r>
    </w:p>
    <w:p>
      <w:pPr>
        <w:pStyle w:val="Tekstpodstawowy"/>
      </w:pPr>
      <w:r>
        <w:rPr>
          <w:b/>
        </w:rPr>
        <w:t xml:space="preserve">Moduł IV</w:t>
      </w:r>
    </w:p>
    <w:p>
      <w:pPr>
        <w:pStyle w:val="Tekstpodstawowy"/>
      </w:pPr>
      <w:r>
        <w:rPr>
          <w:b/>
        </w:rPr>
        <w:t xml:space="preserve">Komunikacja</w:t>
      </w:r>
    </w:p>
    <w:p>
      <w:pPr>
        <w:pStyle w:val="Tekstpodstawowy"/>
      </w:pPr>
      <w:r>
        <w:rPr>
          <w:i/>
        </w:rPr>
        <w:t xml:space="preserve">„Sposób, w jaki komunikujemy się z innymi, determinuje jakość naszego życia”</w:t>
      </w:r>
    </w:p>
    <w:p>
      <w:pPr>
        <w:pStyle w:val="Tekstpodstawowy"/>
      </w:pPr>
      <w:r>
        <w:t xml:space="preserve">- T. Robbins</w:t>
      </w:r>
    </w:p>
    <w:p>
      <w:pPr>
        <w:pStyle w:val="Tekstpodstawowy"/>
      </w:pPr>
      <w:r>
        <w:t xml:space="preserve">Komunikujemy się wszyscy, ale czy robimy to prawidłowo? Czy nasze komunikaty są spójne, czytelne i osiągają pożądany efekt? Podczas tego modułu skupimy się na udoskonaleniu umiejętności komunikacyjnych, które ułatwią nawiązywanie trwałych relacji oraz osiąganie wyznaczonych celów.</w:t>
      </w:r>
    </w:p>
    <w:p>
      <w:pPr>
        <w:pStyle w:val="Tekstpodstawowy"/>
      </w:pPr>
      <w:r>
        <w:rPr>
          <w:b/>
        </w:rPr>
        <w:t xml:space="preserve">Tematy:</w:t>
      </w:r>
    </w:p>
    <w:p>
      <w:pPr>
        <w:pStyle w:val="Compact"/>
        <w:numPr>
          <w:numId w:val="1014"/>
          <w:ilvl w:val="0"/>
        </w:numPr>
      </w:pPr>
      <w:r>
        <w:t xml:space="preserve">Proces komunikacji – kanały przekazu informacji.</w:t>
      </w:r>
    </w:p>
    <w:p>
      <w:pPr>
        <w:pStyle w:val="Compact"/>
        <w:numPr>
          <w:numId w:val="1014"/>
          <w:ilvl w:val="0"/>
        </w:numPr>
      </w:pPr>
      <w:r>
        <w:t xml:space="preserve">Komunikacja werbalna – przekazywanie informacji, przyczyny błędów i przekłamań, unikanie błędów komunikacji werbalnej: pytania, słuchanie, parafrazy, klaryfikacje.</w:t>
      </w:r>
    </w:p>
    <w:p>
      <w:pPr>
        <w:pStyle w:val="Compact"/>
        <w:numPr>
          <w:numId w:val="1014"/>
          <w:ilvl w:val="0"/>
        </w:numPr>
      </w:pPr>
      <w:r>
        <w:t xml:space="preserve">Komunikacja z klientem wewnętrznym i zewnętrznym – zrozumienie, zaangażowanie i dostosowanie; przyczyny braku zrozumienia.</w:t>
      </w:r>
    </w:p>
    <w:p>
      <w:pPr>
        <w:pStyle w:val="Compact"/>
        <w:numPr>
          <w:numId w:val="1014"/>
          <w:ilvl w:val="0"/>
        </w:numPr>
      </w:pPr>
      <w:r>
        <w:t xml:space="preserve">Trudny klient - sposoby reakcji.</w:t>
      </w:r>
    </w:p>
    <w:p>
      <w:pPr>
        <w:pStyle w:val="Compact"/>
        <w:numPr>
          <w:numId w:val="1014"/>
          <w:ilvl w:val="0"/>
        </w:numPr>
      </w:pPr>
      <w:r>
        <w:t xml:space="preserve">Przyczyny i rodzaje zachowań emocjonalnych.</w:t>
      </w:r>
    </w:p>
    <w:p>
      <w:pPr>
        <w:pStyle w:val="Compact"/>
        <w:numPr>
          <w:numId w:val="1014"/>
          <w:ilvl w:val="0"/>
        </w:numPr>
      </w:pPr>
      <w:r>
        <w:t xml:space="preserve">Opanowanie własnych emocji i reakcja na emocje klienta.</w:t>
      </w:r>
    </w:p>
    <w:p>
      <w:pPr>
        <w:pStyle w:val="Compact"/>
        <w:numPr>
          <w:numId w:val="1014"/>
          <w:ilvl w:val="0"/>
        </w:numPr>
      </w:pPr>
      <w:r>
        <w:t xml:space="preserve">Analiza transakcyjna (reakcje na prowokacje, szukanie porozumienia z pozycji dorosłego).</w:t>
      </w:r>
    </w:p>
    <w:p>
      <w:pPr>
        <w:pStyle w:val="Compact"/>
        <w:numPr>
          <w:numId w:val="1014"/>
          <w:ilvl w:val="0"/>
        </w:numPr>
      </w:pPr>
      <w:r>
        <w:t xml:space="preserve">Komunikacja niewerbalna - właściwa postawa, gesty, które obrażają innych, gesty, które należy wyeliminować.</w:t>
      </w:r>
    </w:p>
    <w:p>
      <w:pPr>
        <w:pStyle w:val="Nagwek1"/>
      </w:pPr>
      <w:bookmarkStart w:id="33" w:name="harmonogram"/>
      <w:r>
        <w:t xml:space="preserve">Harmonogram</w:t>
      </w:r>
      <w:bookmarkEnd w:id="3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Harmonogram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Rejestracja uczestników</w:t>
            </w:r>
          </w:p>
        </w:tc>
        <w:tc>
          <w:p>
            <w:pPr>
              <w:pStyle w:val="Compact"/>
              <w:jc w:val="left"/>
            </w:pPr>
            <w:r>
              <w:t xml:space="preserve">9:45 - 10:00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10:00 - 11:00</w:t>
            </w:r>
          </w:p>
        </w:tc>
        <w:tc>
          <w:p>
            <w:pPr>
              <w:pStyle w:val="Compact"/>
              <w:jc w:val="left"/>
            </w:pPr>
            <w:r>
              <w:t xml:space="preserve">9:00 - 11:00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Obiad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15:10 - 17:00</w:t>
            </w:r>
          </w:p>
        </w:tc>
        <w:tc>
          <w:p>
            <w:pPr>
              <w:pStyle w:val="Compact"/>
              <w:jc w:val="left"/>
            </w:pPr>
            <w:r>
              <w:t xml:space="preserve">15:10 - 16:00</w:t>
            </w:r>
          </w:p>
        </w:tc>
      </w:tr>
    </w:tbl>
    <w:p>
      <w:pPr>
        <w:pStyle w:val="Nagwek1"/>
      </w:pPr>
      <w:bookmarkStart w:id="34" w:name="koszt-inwestycji"/>
      <w:r>
        <w:t xml:space="preserve">Koszt inwestycji</w:t>
      </w:r>
      <w:bookmarkEnd w:id="34"/>
    </w:p>
    <w:p>
      <w:pPr>
        <w:pStyle w:val="FirstParagraph"/>
      </w:pPr>
      <w:r>
        <w:t xml:space="preserve">Przy zgłoszeniu do 22 września 2023r. obowiązuje cena 2490 zł. Po tym terminie koszt wynosi 2700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szkolenia*.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5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5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5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6" w:name="kontakt"/>
      <w:r>
        <w:t xml:space="preserve">Kontakt</w:t>
      </w:r>
      <w:bookmarkEnd w:id="36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Sosnowa 35</w:t>
      </w:r>
      <w:r>
        <w:br w:type="textWrapping"/>
      </w:r>
      <w:r>
        <w:t xml:space="preserve">05-807 Podkowa Leśna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7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even" r:id="rId11"/>
      <w:headerReference w:type="default" r:id="rId10"/>
      <w:footerReference w:type="even" r:id="rId13"/>
      <w:footerReference w:type="default" r:id="rId12"/>
      <w:headerReference w:type="first" r:id="rId9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A9EA" w14:textId="77777777" w:rsidR="004F7401" w:rsidRDefault="004F7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FF76B50" w:rsidR="00583B03" w:rsidRDefault="00583B03">
    <w:pPr>
      <w:pStyle w:val="Stopka"/>
    </w:pPr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Progress Project Sp. z o.o.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>Sosnowa 35, 05-8</w:t>
    </w:r>
    <w:r w:rsidR="00942731">
      <w:rPr>
        <w:rFonts w:ascii="Segoe UI" w:hAnsi="Segoe UI" w:cs="Segoe UI"/>
        <w:color w:val="636C72"/>
        <w:sz w:val="17"/>
        <w:szCs w:val="17"/>
        <w:shd w:val="clear" w:color="auto" w:fill="FFFFFF"/>
      </w:rPr>
      <w:t>07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Podkowa Leśna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Nr konta: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Copyright 2017 by Progress Project Sp. z o.o. All Rights Reserverd.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BBE" w14:textId="77777777" w:rsidR="004F7401" w:rsidRDefault="004F7401">
    <w:pPr>
      <w:pStyle w:val="Stopka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126" w14:textId="77777777" w:rsidR="004F7401" w:rsidRDefault="004F7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6E07" w14:textId="77777777" w:rsidR="004F7401" w:rsidRDefault="004F7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f052f57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dbb0d15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20a3bc92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1"/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image" Id="rId27" Target="media/rId27.jpg" /><Relationship Type="http://schemas.openxmlformats.org/officeDocument/2006/relationships/hyperlink" Id="rId37" Target="/cdn-cgi/l/email-protection" TargetMode="External" /><Relationship Type="http://schemas.openxmlformats.org/officeDocument/2006/relationships/hyperlink" Id="rId35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7" Target="/cdn-cgi/l/email-protection" TargetMode="External" /><Relationship Type="http://schemas.openxmlformats.org/officeDocument/2006/relationships/hyperlink" Id="rId35" Target="https://pliki.progressproject.pl/pliki/img/common/oswiadczenie_o_finansowaniu_wzor_13.09.2019.docx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Budowanie wizerunku menedżera</dc:title>
  <dc:creator/>
  <cp:keywords/>
  <dcterms:created xsi:type="dcterms:W3CDTF">2023-09-20T16:05:06Z</dcterms:created>
  <dcterms:modified xsi:type="dcterms:W3CDTF">2023-09-20T16:05:06Z</dcterms:modified>
</cp:coreProperties>
</file>