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footer3.xml" ContentType="application/vnd.openxmlformats-officedocument.wordprocessingml.footer+xml"/>
  <Override PartName="/word/media/image1.jpg" ContentType="image/jpe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ytu"/>
      </w:pPr>
      <w:r>
        <w:t xml:space="preserve">Dystrybucja</w:t>
      </w:r>
      <w:r>
        <w:t xml:space="preserve"> </w:t>
      </w:r>
      <w:r>
        <w:t xml:space="preserve">i</w:t>
      </w:r>
      <w:r>
        <w:t xml:space="preserve"> </w:t>
      </w:r>
      <w:r>
        <w:t xml:space="preserve">planowanie</w:t>
      </w:r>
      <w:r>
        <w:t xml:space="preserve"> </w:t>
      </w:r>
      <w:r>
        <w:t xml:space="preserve">dostaw</w:t>
      </w:r>
    </w:p>
    <w:p>
      <w:pPr>
        <w:pStyle w:val="Nagwek1"/>
      </w:pPr>
      <w:bookmarkStart w:id="23" w:name="terminy-szkolenia"/>
      <w:r>
        <w:t xml:space="preserve">Terminy szkolenia</w:t>
      </w:r>
      <w:bookmarkEnd w:id="23"/>
    </w:p>
    <w:p>
      <w:pPr>
        <w:pStyle w:val="Compact"/>
        <w:numPr>
          <w:numId w:val="1001"/>
          <w:ilvl w:val="0"/>
        </w:numPr>
      </w:pPr>
      <w:r>
        <w:t xml:space="preserve">8-9 kwietnia 2024 Wrocław</w:t>
      </w:r>
    </w:p>
    <w:p>
      <w:pPr>
        <w:pStyle w:val="Compact"/>
        <w:numPr>
          <w:numId w:val="1001"/>
          <w:ilvl w:val="0"/>
        </w:numPr>
      </w:pPr>
      <w:r>
        <w:t xml:space="preserve">22-23 lipca 2024 Online</w:t>
      </w:r>
    </w:p>
    <w:p>
      <w:pPr>
        <w:pStyle w:val="Compact"/>
        <w:numPr>
          <w:numId w:val="1001"/>
          <w:ilvl w:val="0"/>
        </w:numPr>
      </w:pPr>
      <w:r>
        <w:t xml:space="preserve">17-18 października 2024 Warszawa</w:t>
      </w:r>
    </w:p>
    <w:p>
      <w:pPr>
        <w:pStyle w:val="Compact"/>
        <w:numPr>
          <w:numId w:val="1001"/>
          <w:ilvl w:val="0"/>
        </w:numPr>
      </w:pPr>
      <w:r>
        <w:t xml:space="preserve">18-19 listopada 2024 Online</w:t>
      </w:r>
    </w:p>
    <w:p>
      <w:pPr>
        <w:pStyle w:val="Nagwek1"/>
      </w:pPr>
      <w:bookmarkStart w:id="24" w:name="opis-szkolenia-i-cel"/>
      <w:r>
        <w:t xml:space="preserve">Opis szkolenia i cel</w:t>
      </w:r>
      <w:bookmarkEnd w:id="24"/>
    </w:p>
    <w:p>
      <w:pPr>
        <w:pStyle w:val="FirstParagraph"/>
      </w:pPr>
      <w:r>
        <w:t xml:space="preserve">Szkolenie jest skierowane do osób odpowiedzialnych za logistykę w obszarze dystrybucji, osób na stanowiskach kierowniczych i specjalistycznych zajmujących się szeroko rozumianą dystrybucją (także handlowców), jak również dla osób, które planują w przyszłości objąć takie stanowiska. Akcent położony jest na logistyczne aspekty dystrybucji – szkolenie oferuje przegląd wybranych metod, narzędzi i technik, które ułatwiają planowanie, organizację, realizowanie i kontrolowanie procesów logistycznych w dystrybucji. Zadaniem uczestników w trakcie szkolenia będzie m.in. przeanalizowanie poszczególnych faz procesu realizacji zamówienia. Szczególnie dużo miejsca poświęcono problematyce oferowania pożądanego przez klientów poziomu obsługi logistycznej oraz sterowania zapasami jako procesów kluczowych w dystrybucji a jednocześnie istotnych z punktu widzenia finansów przedsiębiorstwa. Uczestnicy mają okazję dokładnie przeanalizować elementy obsługi logistycznej, nauczyć się ich mierzenia i standaryzacji. Nauczą się też całego wachlarza technik optymalizacji zapasów z uwzględnieniem wskazań odnośnie ich stosowania w systemach ERP. Szkolenie obejmuje też wybrane aspekty planowania gospodarki magazynowej i transportu w sferze dystrybucji z uwzględnieniem kosztów tych procesów, ale także wskazaniem potencjalnych możliwości wykorzystania ich jako czynników przewagi konkurencyjnej na rynku.</w:t>
      </w:r>
    </w:p>
    <w:p>
      <w:pPr>
        <w:pStyle w:val="Nagwek1"/>
      </w:pPr>
      <w:bookmarkStart w:id="25" w:name="korzyści-dla-uczestników"/>
      <w:r>
        <w:t xml:space="preserve">Korzyści dla uczestników</w:t>
      </w:r>
      <w:bookmarkEnd w:id="25"/>
    </w:p>
    <w:p>
      <w:pPr>
        <w:pStyle w:val="Compact"/>
        <w:numPr>
          <w:numId w:val="1003"/>
          <w:ilvl w:val="0"/>
        </w:numPr>
      </w:pPr>
      <w:r>
        <w:t xml:space="preserve">zrozumienie znaczenia kluczowych procesów logistycznych dla skutecznej dystrybucji i efektywności całego przedsiębiorstwa,</w:t>
      </w:r>
    </w:p>
    <w:p>
      <w:pPr>
        <w:pStyle w:val="Compact"/>
        <w:numPr>
          <w:numId w:val="1003"/>
          <w:ilvl w:val="0"/>
        </w:numPr>
      </w:pPr>
      <w:r>
        <w:t xml:space="preserve">nauczenie się systemowego podejścia do kształtowania poziomu obsługi klienta oraz metod jego pomiaru i standaryzacji,</w:t>
      </w:r>
    </w:p>
    <w:p>
      <w:pPr>
        <w:pStyle w:val="Compact"/>
        <w:numPr>
          <w:numId w:val="1003"/>
          <w:ilvl w:val="0"/>
        </w:numPr>
      </w:pPr>
      <w:r>
        <w:t xml:space="preserve">nauczenie się rozpoznawania charakteru popytu i dopasowywania najlepszych metod jego zaspokajania,</w:t>
      </w:r>
    </w:p>
    <w:p>
      <w:pPr>
        <w:pStyle w:val="Compact"/>
        <w:numPr>
          <w:numId w:val="1003"/>
          <w:ilvl w:val="0"/>
        </w:numPr>
      </w:pPr>
      <w:r>
        <w:t xml:space="preserve">poznanie metod planowania i optymalizacji dostaw z uwzględnieniem ich kosztowych aspektów,</w:t>
      </w:r>
    </w:p>
    <w:p>
      <w:pPr>
        <w:pStyle w:val="Compact"/>
        <w:numPr>
          <w:numId w:val="1003"/>
          <w:ilvl w:val="0"/>
        </w:numPr>
      </w:pPr>
      <w:r>
        <w:t xml:space="preserve">poznanie metod analizy kosztów logistycznych generowanych w procesach dystrybucji.</w:t>
      </w:r>
    </w:p>
    <w:p>
      <w:pPr>
        <w:pStyle w:val="Nagwek1"/>
      </w:pPr>
      <w:bookmarkStart w:id="26" w:name="metody-szkolenia"/>
      <w:r>
        <w:t xml:space="preserve">Metody szkolenia</w:t>
      </w:r>
      <w:bookmarkEnd w:id="26"/>
    </w:p>
    <w:p>
      <w:pPr>
        <w:pStyle w:val="Compact"/>
        <w:numPr>
          <w:numId w:val="1004"/>
          <w:ilvl w:val="0"/>
        </w:numPr>
      </w:pPr>
      <w:r>
        <w:t xml:space="preserve">wykłady wprowadzające z dyskusją z uczestnikami,</w:t>
      </w:r>
    </w:p>
    <w:p>
      <w:pPr>
        <w:pStyle w:val="Compact"/>
        <w:numPr>
          <w:numId w:val="1004"/>
          <w:ilvl w:val="0"/>
        </w:numPr>
      </w:pPr>
      <w:r>
        <w:t xml:space="preserve">analizy studiów przypadków,</w:t>
      </w:r>
    </w:p>
    <w:p>
      <w:pPr>
        <w:pStyle w:val="Compact"/>
        <w:numPr>
          <w:numId w:val="1004"/>
          <w:ilvl w:val="0"/>
        </w:numPr>
      </w:pPr>
      <w:r>
        <w:t xml:space="preserve">analizy ilościowe z wykorzystaniem arkusza kalkulacyjnego,</w:t>
      </w:r>
    </w:p>
    <w:p>
      <w:pPr>
        <w:pStyle w:val="Compact"/>
        <w:numPr>
          <w:numId w:val="1004"/>
          <w:ilvl w:val="0"/>
        </w:numPr>
      </w:pPr>
      <w:r>
        <w:t xml:space="preserve">ćwiczenia w podgrupach.</w:t>
      </w:r>
    </w:p>
    <w:p>
      <w:pPr>
        <w:pStyle w:val="Nagwek1"/>
      </w:pPr>
      <w:bookmarkStart w:id="27" w:name="czas-trwania"/>
      <w:r>
        <w:t xml:space="preserve">Czas trwania</w:t>
      </w:r>
      <w:bookmarkEnd w:id="27"/>
    </w:p>
    <w:p>
      <w:pPr>
        <w:pStyle w:val="Compact"/>
      </w:pPr>
      <w:r>
        <w:t xml:space="preserve">16 godzin dydaktycznych - 2 dni</w:t>
      </w:r>
    </w:p>
    <w:p>
      <w:pPr>
        <w:pStyle w:val="Nagwek1"/>
      </w:pPr>
      <w:bookmarkStart w:id="28" w:name="program-szkolenia"/>
      <w:r>
        <w:t xml:space="preserve">Program szkolenia</w:t>
      </w:r>
      <w:bookmarkEnd w:id="28"/>
    </w:p>
    <w:p>
      <w:pPr>
        <w:pStyle w:val="Compact"/>
        <w:numPr>
          <w:numId w:val="1005"/>
          <w:ilvl w:val="0"/>
        </w:numPr>
      </w:pPr>
      <w:r>
        <w:t xml:space="preserve">Rola logistyki w dystrybucji:</w:t>
      </w:r>
    </w:p>
    <w:p>
      <w:pPr>
        <w:pStyle w:val="Compact"/>
        <w:numPr>
          <w:numId w:val="1006"/>
          <w:ilvl w:val="1"/>
        </w:numPr>
      </w:pPr>
      <w:r>
        <w:t xml:space="preserve">istota i funkcje dystrybucji,</w:t>
      </w:r>
    </w:p>
    <w:p>
      <w:pPr>
        <w:pStyle w:val="Compact"/>
        <w:numPr>
          <w:numId w:val="1006"/>
          <w:ilvl w:val="1"/>
        </w:numPr>
      </w:pPr>
      <w:r>
        <w:t xml:space="preserve">koordynacja dystrybucji – rodzaje, funkcje oraz zalety i wady kanałów dystrybucji,</w:t>
      </w:r>
    </w:p>
    <w:p>
      <w:pPr>
        <w:pStyle w:val="Compact"/>
        <w:numPr>
          <w:numId w:val="1006"/>
          <w:ilvl w:val="1"/>
        </w:numPr>
      </w:pPr>
      <w:r>
        <w:t xml:space="preserve">istota logistyki i główne zasady „myślenia w kategoriach logistycznych”,</w:t>
      </w:r>
    </w:p>
    <w:p>
      <w:pPr>
        <w:pStyle w:val="Compact"/>
        <w:numPr>
          <w:numId w:val="1006"/>
          <w:ilvl w:val="1"/>
        </w:numPr>
      </w:pPr>
      <w:r>
        <w:t xml:space="preserve">znaczenie logistycznego wsparcia systemu dystrybucji,</w:t>
      </w:r>
    </w:p>
    <w:p>
      <w:pPr>
        <w:pStyle w:val="Compact"/>
        <w:numPr>
          <w:numId w:val="1006"/>
          <w:ilvl w:val="1"/>
        </w:numPr>
      </w:pPr>
      <w:r>
        <w:t xml:space="preserve">wpływ działań logistycznych w sferze dystrybucji na efektywność przedsiębiorstwa.</w:t>
      </w:r>
    </w:p>
    <w:p>
      <w:pPr>
        <w:pStyle w:val="Compact"/>
        <w:numPr>
          <w:numId w:val="1005"/>
          <w:ilvl w:val="0"/>
        </w:numPr>
      </w:pPr>
      <w:r>
        <w:t xml:space="preserve">Realizacja zamówień klientów jako kluczowy proces w systemie dystrybucji:</w:t>
      </w:r>
    </w:p>
    <w:p>
      <w:pPr>
        <w:pStyle w:val="Compact"/>
        <w:numPr>
          <w:numId w:val="1007"/>
          <w:ilvl w:val="1"/>
        </w:numPr>
      </w:pPr>
      <w:r>
        <w:t xml:space="preserve">przebieg realizacji zamówienia,</w:t>
      </w:r>
    </w:p>
    <w:p>
      <w:pPr>
        <w:pStyle w:val="Compact"/>
        <w:numPr>
          <w:numId w:val="1007"/>
          <w:ilvl w:val="1"/>
        </w:numPr>
      </w:pPr>
      <w:r>
        <w:t xml:space="preserve">znaczenie analizy cyklu realizacji zamówienia,</w:t>
      </w:r>
    </w:p>
    <w:p>
      <w:pPr>
        <w:pStyle w:val="Compact"/>
        <w:numPr>
          <w:numId w:val="1007"/>
          <w:ilvl w:val="1"/>
        </w:numPr>
      </w:pPr>
      <w:r>
        <w:t xml:space="preserve">analiza zyskowności klienta z uwzględnieniem kosztów logistycznych,</w:t>
      </w:r>
    </w:p>
    <w:p>
      <w:pPr>
        <w:pStyle w:val="Compact"/>
        <w:numPr>
          <w:numId w:val="1007"/>
          <w:ilvl w:val="1"/>
        </w:numPr>
      </w:pPr>
      <w:r>
        <w:t xml:space="preserve">przegląd elementów logistycznej obsługi klienta,</w:t>
      </w:r>
    </w:p>
    <w:p>
      <w:pPr>
        <w:pStyle w:val="Compact"/>
        <w:numPr>
          <w:numId w:val="1007"/>
          <w:ilvl w:val="1"/>
        </w:numPr>
      </w:pPr>
      <w:r>
        <w:t xml:space="preserve">ustalanie pożądanego poziomu obsługi klienta,</w:t>
      </w:r>
    </w:p>
    <w:p>
      <w:pPr>
        <w:pStyle w:val="Compact"/>
        <w:numPr>
          <w:numId w:val="1007"/>
          <w:ilvl w:val="1"/>
        </w:numPr>
      </w:pPr>
      <w:r>
        <w:t xml:space="preserve">segmentacja rynku zbytu na potrzeby lepszego dopasowania obsługi logistycznej,</w:t>
      </w:r>
    </w:p>
    <w:p>
      <w:pPr>
        <w:pStyle w:val="Compact"/>
        <w:numPr>
          <w:numId w:val="1007"/>
          <w:ilvl w:val="1"/>
        </w:numPr>
      </w:pPr>
      <w:r>
        <w:t xml:space="preserve">standaryzacja logistycznej obsługi klienta,</w:t>
      </w:r>
    </w:p>
    <w:p>
      <w:pPr>
        <w:pStyle w:val="Compact"/>
        <w:numPr>
          <w:numId w:val="1007"/>
          <w:ilvl w:val="1"/>
        </w:numPr>
      </w:pPr>
      <w:r>
        <w:t xml:space="preserve">proste i złożone mierniki obsługi logistycznej.</w:t>
      </w:r>
    </w:p>
    <w:p>
      <w:pPr>
        <w:pStyle w:val="Compact"/>
        <w:numPr>
          <w:numId w:val="1005"/>
          <w:ilvl w:val="0"/>
        </w:numPr>
      </w:pPr>
      <w:r>
        <w:t xml:space="preserve">Sterowanie zapasami w systemie dystrybucji:</w:t>
      </w:r>
    </w:p>
    <w:p>
      <w:pPr>
        <w:pStyle w:val="Compact"/>
        <w:numPr>
          <w:numId w:val="1008"/>
          <w:ilvl w:val="1"/>
        </w:numPr>
      </w:pPr>
      <w:r>
        <w:t xml:space="preserve">znaczenie zapasów w obsłudze logistycznej,</w:t>
      </w:r>
    </w:p>
    <w:p>
      <w:pPr>
        <w:pStyle w:val="Compact"/>
        <w:numPr>
          <w:numId w:val="1008"/>
          <w:ilvl w:val="1"/>
        </w:numPr>
      </w:pPr>
      <w:r>
        <w:t xml:space="preserve">rodzaje i koszty zapasów,</w:t>
      </w:r>
    </w:p>
    <w:p>
      <w:pPr>
        <w:pStyle w:val="Compact"/>
        <w:numPr>
          <w:numId w:val="1008"/>
          <w:ilvl w:val="1"/>
        </w:numPr>
      </w:pPr>
      <w:r>
        <w:t xml:space="preserve">rodzaje popytu,</w:t>
      </w:r>
    </w:p>
    <w:p>
      <w:pPr>
        <w:pStyle w:val="Compact"/>
        <w:numPr>
          <w:numId w:val="1008"/>
          <w:ilvl w:val="1"/>
        </w:numPr>
      </w:pPr>
      <w:r>
        <w:t xml:space="preserve">analiza profilu popytu jako punkt wyjścia w ustalaniu zapotrzebowania na zapasy,</w:t>
      </w:r>
    </w:p>
    <w:p>
      <w:pPr>
        <w:pStyle w:val="Compact"/>
        <w:numPr>
          <w:numId w:val="1008"/>
          <w:ilvl w:val="1"/>
        </w:numPr>
      </w:pPr>
      <w:r>
        <w:t xml:space="preserve">podstawowe parametry popytu,</w:t>
      </w:r>
    </w:p>
    <w:p>
      <w:pPr>
        <w:pStyle w:val="Compact"/>
        <w:numPr>
          <w:numId w:val="1008"/>
          <w:ilvl w:val="1"/>
        </w:numPr>
      </w:pPr>
      <w:r>
        <w:t xml:space="preserve">systemy sterowania zapasami w łańcuchu dostaw,</w:t>
      </w:r>
    </w:p>
    <w:p>
      <w:pPr>
        <w:pStyle w:val="Compact"/>
        <w:numPr>
          <w:numId w:val="1008"/>
          <w:ilvl w:val="1"/>
        </w:numPr>
      </w:pPr>
      <w:r>
        <w:t xml:space="preserve">metody planowania i optymalizacji dostaw w systemie dystrybucji.</w:t>
      </w:r>
    </w:p>
    <w:p>
      <w:pPr>
        <w:pStyle w:val="Compact"/>
        <w:numPr>
          <w:numId w:val="1005"/>
          <w:ilvl w:val="0"/>
        </w:numPr>
      </w:pPr>
      <w:r>
        <w:t xml:space="preserve">Planowanie składowania i przemieszczania dóbr w kanałach dystrybucji:</w:t>
      </w:r>
    </w:p>
    <w:p>
      <w:pPr>
        <w:pStyle w:val="Compact"/>
        <w:numPr>
          <w:numId w:val="1009"/>
          <w:ilvl w:val="1"/>
        </w:numPr>
      </w:pPr>
      <w:r>
        <w:t xml:space="preserve">problemy związane z gospodarką magazynową w sferze dystrybucji,</w:t>
      </w:r>
    </w:p>
    <w:p>
      <w:pPr>
        <w:pStyle w:val="Compact"/>
        <w:numPr>
          <w:numId w:val="1009"/>
          <w:ilvl w:val="1"/>
        </w:numPr>
      </w:pPr>
      <w:r>
        <w:t xml:space="preserve">analiza kosztów magazynowania,</w:t>
      </w:r>
    </w:p>
    <w:p>
      <w:pPr>
        <w:pStyle w:val="Compact"/>
        <w:numPr>
          <w:numId w:val="1009"/>
          <w:ilvl w:val="1"/>
        </w:numPr>
      </w:pPr>
      <w:r>
        <w:t xml:space="preserve">problemy związane z transportem w sferze dystrybucji,</w:t>
      </w:r>
    </w:p>
    <w:p>
      <w:pPr>
        <w:pStyle w:val="Compact"/>
        <w:numPr>
          <w:numId w:val="1009"/>
          <w:ilvl w:val="1"/>
        </w:numPr>
      </w:pPr>
      <w:r>
        <w:t xml:space="preserve">planowanie transportu w sferze dystrybucji,</w:t>
      </w:r>
    </w:p>
    <w:p>
      <w:pPr>
        <w:pStyle w:val="Compact"/>
        <w:numPr>
          <w:numId w:val="1009"/>
          <w:ilvl w:val="1"/>
        </w:numPr>
      </w:pPr>
      <w:r>
        <w:t xml:space="preserve">analiza kosztów transportu.</w:t>
      </w:r>
    </w:p>
    <w:p>
      <w:pPr>
        <w:pStyle w:val="Compact"/>
      </w:pPr>
      <w:r>
        <w:t xml:space="preserve"> </w:t>
      </w:r>
    </w:p>
    <w:p>
      <w:pPr>
        <w:pStyle w:val="Nagwek1"/>
      </w:pPr>
      <w:bookmarkStart w:id="29" w:name="harmonogram"/>
      <w:r>
        <w:t xml:space="preserve">Harmonogram</w:t>
      </w:r>
      <w:bookmarkEnd w:id="29"/>
    </w:p>
    <w:tbl>
      <w:tblPr>
        <w:tblStyle w:val="Table"/>
        <w:tblW w:type="pct" w:w="0.0"/>
        <w:tblLook w:firstRow="1"/>
      </w:tblPr>
      <w:tblGrid/>
      <w:tr>
        <w:trPr>
          <w:cnfStyle w:firstRow="1"/>
        </w:trPr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Harmonogram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1</w:t>
            </w:r>
          </w:p>
        </w:tc>
        <w:tc>
          <w:tcPr>
            <w:tcBorders>
              <w:bottom w:val="single"/>
            </w:tcBorders>
            <w:vAlign w:val="bottom"/>
          </w:tcPr>
          <w:p>
            <w:pPr>
              <w:pStyle w:val="Compact"/>
              <w:jc w:val="left"/>
            </w:pPr>
            <w:r>
              <w:t xml:space="preserve">Dzień 2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Rejestracja uczestników</w:t>
            </w:r>
          </w:p>
        </w:tc>
        <w:tc>
          <w:p>
            <w:pPr>
              <w:pStyle w:val="Compact"/>
              <w:jc w:val="left"/>
            </w:pPr>
            <w:r>
              <w:t xml:space="preserve">9:45 - 10:00</w:t>
            </w:r>
          </w:p>
        </w:tc>
        <w:tc>
          <w:p>
            <w:pPr>
              <w:pStyle w:val="Compact"/>
              <w:jc w:val="left"/>
            </w:pPr>
            <w:r>
              <w:t xml:space="preserve"> 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10:00 - 11:00</w:t>
            </w:r>
          </w:p>
        </w:tc>
        <w:tc>
          <w:p>
            <w:pPr>
              <w:pStyle w:val="Compact"/>
              <w:jc w:val="left"/>
            </w:pPr>
            <w:r>
              <w:t xml:space="preserve">9:00 - 11:00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  <w:tc>
          <w:p>
            <w:pPr>
              <w:pStyle w:val="Compact"/>
              <w:jc w:val="left"/>
            </w:pPr>
            <w:r>
              <w:t xml:space="preserve">11:00 - 11:15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  <w:tc>
          <w:p>
            <w:pPr>
              <w:pStyle w:val="Compact"/>
              <w:jc w:val="left"/>
            </w:pPr>
            <w:r>
              <w:t xml:space="preserve">11:15 - 13:00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Obiad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  <w:tc>
          <w:p>
            <w:pPr>
              <w:pStyle w:val="Compact"/>
              <w:jc w:val="left"/>
            </w:pPr>
            <w:r>
              <w:t xml:space="preserve">13:00 - 13:45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  <w:tc>
          <w:p>
            <w:pPr>
              <w:pStyle w:val="Compact"/>
              <w:jc w:val="left"/>
            </w:pPr>
            <w:r>
              <w:t xml:space="preserve">13:45 - 15:00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Przerwa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  <w:tc>
          <w:p>
            <w:pPr>
              <w:pStyle w:val="Compact"/>
              <w:jc w:val="left"/>
            </w:pPr>
            <w:r>
              <w:t xml:space="preserve">15:00 - 15:10</w:t>
            </w:r>
          </w:p>
        </w:tc>
      </w:tr>
      <w:tr>
        <w:tc>
          <w:p>
            <w:pPr>
              <w:pStyle w:val="Compact"/>
              <w:jc w:val="left"/>
            </w:pPr>
            <w:r>
              <w:t xml:space="preserve">Zajęcia</w:t>
            </w:r>
          </w:p>
        </w:tc>
        <w:tc>
          <w:p>
            <w:pPr>
              <w:pStyle w:val="Compact"/>
              <w:jc w:val="left"/>
            </w:pPr>
            <w:r>
              <w:t xml:space="preserve">15:10 - 17:00</w:t>
            </w:r>
          </w:p>
        </w:tc>
        <w:tc>
          <w:p>
            <w:pPr>
              <w:pStyle w:val="Compact"/>
              <w:jc w:val="left"/>
            </w:pPr>
            <w:r>
              <w:t xml:space="preserve">15:10 - 16:00</w:t>
            </w:r>
          </w:p>
        </w:tc>
      </w:tr>
    </w:tbl>
    <w:p>
      <w:pPr>
        <w:pStyle w:val="Nagwek1"/>
      </w:pPr>
      <w:bookmarkStart w:id="30" w:name="koszt-inwestycji"/>
      <w:r>
        <w:t xml:space="preserve">Koszt inwestycji</w:t>
      </w:r>
      <w:bookmarkEnd w:id="30"/>
    </w:p>
    <w:p>
      <w:pPr>
        <w:pStyle w:val="FirstParagraph"/>
      </w:pPr>
      <w:r>
        <w:t xml:space="preserve">Przy zgłoszeniu do 16 luty 2024r. obowiązuje cena 1790 zł. Po tym terminie koszt wynosi 2000 zł. </w:t>
      </w:r>
    </w:p>
    <w:p>
      <w:pPr>
        <w:pStyle w:val="Tekstpodstawowy"/>
      </w:pPr>
      <w:r>
        <w:t xml:space="preserve">Cena dotyczy jednej osoby i zawiera: udział w szkoleniu, materiały szkoleniowe, obiad, przerwy kawowe, certyfikat ukończenia szkolenia*.</w:t>
      </w:r>
    </w:p>
    <w:p>
      <w:pPr>
        <w:pStyle w:val="Tekstpodstawowy"/>
      </w:pPr>
      <w:r>
        <w:t xml:space="preserve">Do podanej powyżej kwoty zostanie doliczony VAT w wysokości 23%.</w:t>
      </w:r>
    </w:p>
    <w:p>
      <w:pPr>
        <w:pStyle w:val="Tekstpodstawowy"/>
      </w:pPr>
      <w:r>
        <w:t xml:space="preserve">Dla instytucji budżetowych i pozostałych firm, które szkolenie finansują w ponad 70% z środków publicznych, istnieje możliwość wystawienia faktury VAT bez podatku VAT (ze stawką zwolnioną).</w:t>
      </w:r>
    </w:p>
    <w:p>
      <w:pPr>
        <w:pStyle w:val="Tekstpodstawowy"/>
      </w:pPr>
      <w:r>
        <w:t xml:space="preserve">Aby uzyskać taką fakturę należy:</w:t>
      </w:r>
    </w:p>
    <w:p>
      <w:pPr>
        <w:pStyle w:val="Compact"/>
        <w:numPr>
          <w:numId w:val="1010"/>
          <w:ilvl w:val="0"/>
        </w:numPr>
      </w:pPr>
      <w:r>
        <w:t xml:space="preserve">pokryć koszt szkolenia w przynajmniej 70% z środków publicznych,</w:t>
      </w:r>
    </w:p>
    <w:p>
      <w:pPr>
        <w:pStyle w:val="Compact"/>
        <w:numPr>
          <w:numId w:val="1010"/>
          <w:ilvl w:val="0"/>
        </w:numPr>
      </w:pPr>
      <w:r>
        <w:t xml:space="preserve">przesłać do nas podpisane oświadczenie o finansowaniu usługi szkoleniowej ze środków publicznych.</w:t>
      </w:r>
    </w:p>
    <w:p>
      <w:pPr>
        <w:pStyle w:val="FirstParagraph"/>
      </w:pPr>
      <w:hyperlink r:id="rId31">
        <w:r>
          <w:rPr>
            <w:rStyle w:val="Hipercze"/>
          </w:rPr>
          <w:t xml:space="preserve">Wzór oświadczenia do pobrania</w:t>
        </w:r>
      </w:hyperlink>
    </w:p>
    <w:p>
      <w:pPr>
        <w:pStyle w:val="Nagwek1"/>
      </w:pPr>
      <w:bookmarkStart w:id="32" w:name="kontakt"/>
      <w:r>
        <w:t xml:space="preserve">Kontakt</w:t>
      </w:r>
      <w:bookmarkEnd w:id="32"/>
    </w:p>
    <w:p>
      <w:pPr>
        <w:pStyle w:val="FirstParagraph"/>
      </w:pPr>
      <w:r>
        <w:t xml:space="preserve">Zapraszamy do kontaktu,</w:t>
      </w:r>
      <w:r>
        <w:br w:type="textWrapping"/>
      </w:r>
      <w:r>
        <w:rPr>
          <w:b/>
        </w:rPr>
        <w:t xml:space="preserve">Progress Project Sp. z o.o.</w:t>
      </w:r>
      <w:r>
        <w:br w:type="textWrapping"/>
      </w:r>
      <w:r>
        <w:t xml:space="preserve">ul. Sosnowa 35</w:t>
      </w:r>
      <w:r>
        <w:br w:type="textWrapping"/>
      </w:r>
      <w:r>
        <w:t xml:space="preserve">05-807 Podkowa Leśna</w:t>
      </w:r>
      <w:r>
        <w:br w:type="textWrapping"/>
      </w:r>
      <w:r>
        <w:t xml:space="preserve">tel.: 22 460 46 00</w:t>
      </w:r>
      <w:r>
        <w:br w:type="textWrapping"/>
      </w:r>
      <w:r>
        <w:t xml:space="preserve">fax: 22 460 46 04</w:t>
      </w:r>
      <w:r>
        <w:br w:type="textWrapping"/>
      </w:r>
      <w:r>
        <w:t xml:space="preserve">email:</w:t>
      </w:r>
      <w:r>
        <w:t xml:space="preserve"> </w:t>
      </w:r>
      <w:hyperlink r:id="rId33">
        <w:r>
          <w:rPr>
            <w:rStyle w:val="Hipercze"/>
          </w:rPr>
          <w:t xml:space="preserve">[email protected]</w:t>
        </w:r>
      </w:hyperlink>
      <w:r>
        <w:br w:type="textWrapping"/>
      </w:r>
      <w:r>
        <w:t xml:space="preserve">www.progressproject.pl</w:t>
      </w:r>
      <w:r>
        <w:br w:type="textWrapping"/>
      </w:r>
    </w:p>
    <w:sectPr w:rsidR="00E81404" w:rsidSect="00583B03">
      <w:headerReference w:type="even" r:id="rId11"/>
      <w:headerReference w:type="default" r:id="rId10"/>
      <w:footerReference w:type="even" r:id="rId13"/>
      <w:footerReference w:type="default" r:id="rId12"/>
      <w:headerReference w:type="first" r:id="rId9"/>
      <w:footerReference w:type="first" r:id="rId14"/>
      <w:pgSz w:w="11906" w:h="16838"/>
      <w:pgMar w:top="1417" w:right="1417" w:bottom="1417" w:left="1417" w:header="0" w:footer="708" w:gutter="0"/>
      <w:cols w:space="708"/>
      <w:docGrid w:linePitch="36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DDA9EA" w14:textId="77777777" w:rsidR="004F7401" w:rsidRDefault="004F7401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502024016"/>
      <w:docPartObj>
        <w:docPartGallery w:val="Page Numbers (Bottom of Page)"/>
        <w:docPartUnique/>
      </w:docPartObj>
    </w:sdtPr>
    <w:sdtEndPr/>
    <w:sdtContent>
      <w:p w14:paraId="47BAF528" w14:textId="77777777" w:rsidR="00583B03" w:rsidRDefault="00583B03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6729F" w:rsidRPr="00B6729F">
          <w:rPr>
            <w:noProof/>
            <w:lang w:val="pl-PL"/>
          </w:rPr>
          <w:t>7</w:t>
        </w:r>
        <w:r>
          <w:fldChar w:fldCharType="end"/>
        </w:r>
      </w:p>
    </w:sdtContent>
  </w:sdt>
  <w:p w14:paraId="6A5BD3E6" w14:textId="2FF76B50" w:rsidR="00583B03" w:rsidRDefault="00583B03">
    <w:pPr>
      <w:pStyle w:val="Stopka"/>
    </w:pPr>
    <w:r>
      <w:rPr>
        <w:rFonts w:ascii="Segoe UI" w:hAnsi="Segoe UI" w:cs="Segoe UI"/>
        <w:color w:val="636C72"/>
        <w:sz w:val="17"/>
        <w:szCs w:val="17"/>
        <w:shd w:val="clear" w:color="auto" w:fill="FFFFFF"/>
      </w:rPr>
      <w:t>Organizator: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Progress Project Sp. z o.o.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ul. 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>Sosnowa 35, 05-8</w:t>
    </w:r>
    <w:r w:rsidR="00942731">
      <w:rPr>
        <w:rFonts w:ascii="Segoe UI" w:hAnsi="Segoe UI" w:cs="Segoe UI"/>
        <w:color w:val="636C72"/>
        <w:sz w:val="17"/>
        <w:szCs w:val="17"/>
        <w:shd w:val="clear" w:color="auto" w:fill="FFFFFF"/>
      </w:rPr>
      <w:t>07</w:t>
    </w:r>
    <w:r w:rsidR="004F7401"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Podkowa Leśna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NIP: 525-238-26-47 Tel. 22 460 46 0</w:t>
    </w:r>
    <w:r w:rsidR="004A1517">
      <w:rPr>
        <w:rFonts w:ascii="Segoe UI" w:hAnsi="Segoe UI" w:cs="Segoe UI"/>
        <w:color w:val="636C72"/>
        <w:sz w:val="17"/>
        <w:szCs w:val="17"/>
        <w:shd w:val="clear" w:color="auto" w:fill="FFFFFF"/>
      </w:rPr>
      <w:t>0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 xml:space="preserve"> Fax. 22 460 46 04</w:t>
    </w:r>
    <w:r>
      <w:rPr>
        <w:rFonts w:ascii="Segoe UI" w:hAnsi="Segoe UI" w:cs="Segoe UI"/>
        <w:color w:val="636C72"/>
        <w:sz w:val="17"/>
        <w:szCs w:val="17"/>
      </w:rPr>
      <w:br/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Nr konta: </w:t>
    </w:r>
    <w:r>
      <w:rPr>
        <w:rFonts w:ascii="Segoe UI" w:hAnsi="Segoe UI" w:cs="Segoe UI"/>
        <w:b/>
        <w:bCs/>
        <w:color w:val="636C72"/>
        <w:sz w:val="17"/>
        <w:szCs w:val="17"/>
        <w:shd w:val="clear" w:color="auto" w:fill="FFFFFF"/>
      </w:rPr>
      <w:t>36 1030 0019 0109 8530 0047 0604</w:t>
    </w:r>
    <w:r>
      <w:rPr>
        <w:rFonts w:ascii="Segoe UI" w:hAnsi="Segoe UI" w:cs="Segoe UI"/>
        <w:color w:val="636C72"/>
        <w:sz w:val="17"/>
        <w:szCs w:val="17"/>
        <w:shd w:val="clear" w:color="auto" w:fill="FFFFFF"/>
      </w:rPr>
      <w:t> www.progressproject.pl biuro@progressproject.pl</w:t>
    </w:r>
    <w:r>
      <w:rPr>
        <w:rFonts w:ascii="Segoe UI" w:hAnsi="Segoe UI" w:cs="Segoe UI"/>
        <w:color w:val="636C72"/>
        <w:sz w:val="17"/>
        <w:szCs w:val="17"/>
      </w:rPr>
      <w:br/>
    </w:r>
    <w:r w:rsidR="00B6729F" w:rsidRPr="00B6729F">
      <w:rPr>
        <w:rFonts w:ascii="Segoe UI" w:hAnsi="Segoe UI" w:cs="Segoe UI"/>
        <w:color w:val="636C72"/>
        <w:sz w:val="13"/>
        <w:szCs w:val="13"/>
        <w:shd w:val="clear" w:color="auto" w:fill="FFFFFF"/>
      </w:rPr>
      <w:t>Copyright 2017 by Progress Project Sp. z o.o. All Rights Reserverd.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F85BBE" w14:textId="77777777" w:rsidR="004F7401" w:rsidRDefault="004F7401">
    <w:pPr>
      <w:pStyle w:val="Stopka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C24126" w14:textId="77777777" w:rsidR="004F7401" w:rsidRDefault="004F7401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FA7A45" w14:textId="77777777" w:rsidR="00583B03" w:rsidRDefault="00583B03" w:rsidP="00583B03">
    <w:pPr>
      <w:pStyle w:val="Nagwek"/>
      <w:ind w:left="-426"/>
    </w:pPr>
    <w:r>
      <w:rPr>
        <w:noProof/>
      </w:rPr>
      <w:drawing>
        <wp:inline distT="0" distB="0" distL="0" distR="0" wp14:anchorId="6A9503D0" wp14:editId="71C02564">
          <wp:extent cx="1954800" cy="915121"/>
          <wp:effectExtent l="0" t="0" r="0" b="0"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PP_www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54800" cy="915121"/>
                  </a:xfrm>
                  <a:prstGeom prst="rect">
                    <a:avLst/>
                  </a:prstGeom>
                  <a:ln>
                    <a:noFill/>
                  </a:ln>
                  <a:effectLst>
                    <a:softEdge rad="112500"/>
                  </a:effectLst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BB6E07" w14:textId="77777777" w:rsidR="004F7401" w:rsidRDefault="004F7401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9993198B"/>
    <w:multiLevelType w:val="multilevel"/>
    <w:tmpl w:val="A8AC45F4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  <w:rPr>
        <w:rFonts w:hint="default"/>
      </w:r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  <w:rPr>
        <w:rFonts w:hint="default"/>
      </w:r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  <w:rPr>
        <w:rFonts w:hint="default"/>
      </w:r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  <w:rPr>
        <w:rFonts w:hint="default"/>
      </w:r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  <w:rPr>
        <w:rFonts w:hint="default"/>
      </w:r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  <w:rPr>
        <w:rFonts w:hint="default"/>
      </w:rPr>
    </w:lvl>
  </w:abstractNum>
  <w:abstractNum w:abstractNumId="1" w15:restartNumberingAfterBreak="0">
    <w:nsid w:val="E94252CD"/>
    <w:multiLevelType w:val="multilevel"/>
    <w:tmpl w:val="3AD214B0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2" w15:restartNumberingAfterBreak="0">
    <w:nsid w:val="FFFFFF7C"/>
    <w:multiLevelType w:val="singleLevel"/>
    <w:tmpl w:val="D9ECAD3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3" w15:restartNumberingAfterBreak="0">
    <w:nsid w:val="FFFFFF7D"/>
    <w:multiLevelType w:val="singleLevel"/>
    <w:tmpl w:val="DA4E8C0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4" w15:restartNumberingAfterBreak="0">
    <w:nsid w:val="FFFFFF7E"/>
    <w:multiLevelType w:val="singleLevel"/>
    <w:tmpl w:val="DA683F6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5" w15:restartNumberingAfterBreak="0">
    <w:nsid w:val="FFFFFF7F"/>
    <w:multiLevelType w:val="singleLevel"/>
    <w:tmpl w:val="B050621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6" w15:restartNumberingAfterBreak="0">
    <w:nsid w:val="FFFFFF80"/>
    <w:multiLevelType w:val="singleLevel"/>
    <w:tmpl w:val="A9968E7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7" w15:restartNumberingAfterBreak="0">
    <w:nsid w:val="FFFFFF81"/>
    <w:multiLevelType w:val="singleLevel"/>
    <w:tmpl w:val="401AA0B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8" w15:restartNumberingAfterBreak="0">
    <w:nsid w:val="FFFFFF82"/>
    <w:multiLevelType w:val="singleLevel"/>
    <w:tmpl w:val="B6F4200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9" w15:restartNumberingAfterBreak="0">
    <w:nsid w:val="FFFFFF83"/>
    <w:multiLevelType w:val="singleLevel"/>
    <w:tmpl w:val="C338C3B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0" w15:restartNumberingAfterBreak="0">
    <w:nsid w:val="FFFFFF88"/>
    <w:multiLevelType w:val="singleLevel"/>
    <w:tmpl w:val="0D0CDFA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 w15:restartNumberingAfterBreak="0">
    <w:nsid w:val="FFFFFF89"/>
    <w:multiLevelType w:val="singleLevel"/>
    <w:tmpl w:val="12AA88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 w15:restartNumberingAfterBreak="0">
    <w:nsid w:val="64A02E52"/>
    <w:multiLevelType w:val="multilevel"/>
    <w:tmpl w:val="06E24AFE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3a8585d5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25e361af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d66920"/>
    <w:multiLevelType w:val="multilevel"/>
    <w:lvl w:ilvl="0">
      <w:start w:val="1"/>
      <w:numFmt w:val="lowerRoman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decimal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Letter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lowerRoman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decimal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Letter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lowerRoman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decimal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Letter"/>
      <w:lvlText w:val="%9."/>
      <w:lvlJc w:val="left"/>
      <w:pPr>
        <w:tabs>
          <w:tab w:val="num" w:pos="5760"/>
        </w:tabs>
        <w:ind w:left="6240" w:hanging="480"/>
      </w:pPr>
    </w:lvl>
  </w:abstractNum>
  <w:num w:numId="1">
    <w:abstractNumId w:val="1"/>
  </w:num>
  <w:num w:numId="2">
    <w:abstractNumId w:val="12"/>
  </w:num>
  <w:num w:numId="3">
    <w:abstractNumId w:val="12"/>
  </w:num>
  <w:num w:numId="4">
    <w:abstractNumId w:val="12"/>
  </w:num>
  <w:num w:numId="5">
    <w:abstractNumId w:val="0"/>
  </w:num>
  <w:num w:numId="6">
    <w:abstractNumId w:val="12"/>
  </w:num>
  <w:num w:numId="7">
    <w:abstractNumId w:val="12"/>
  </w:num>
  <w:num w:numId="8">
    <w:abstractNumId w:val="12"/>
  </w:num>
  <w:num w:numId="9">
    <w:abstractNumId w:val="12"/>
  </w:num>
  <w:num w:numId="10">
    <w:abstractNumId w:val="12"/>
  </w:num>
  <w:num w:numId="11">
    <w:abstractNumId w:val="12"/>
  </w:num>
  <w:num w:numId="12">
    <w:abstractNumId w:val="12"/>
  </w:num>
  <w:num w:numId="13">
    <w:abstractNumId w:val="12"/>
  </w:num>
  <w:num w:numId="14">
    <w:abstractNumId w:val="12"/>
  </w:num>
  <w:num w:numId="15">
    <w:abstractNumId w:val="12"/>
  </w:num>
  <w:num w:numId="16">
    <w:abstractNumId w:val="12"/>
  </w:num>
  <w:num w:numId="17">
    <w:abstractNumId w:val="12"/>
  </w:num>
  <w:num w:numId="18">
    <w:abstractNumId w:val="12"/>
  </w:num>
  <w:num w:numId="19">
    <w:abstractNumId w:val="12"/>
  </w:num>
  <w:num w:numId="20">
    <w:abstractNumId w:val="10"/>
  </w:num>
  <w:num w:numId="21">
    <w:abstractNumId w:val="5"/>
  </w:num>
  <w:num w:numId="22">
    <w:abstractNumId w:val="4"/>
  </w:num>
  <w:num w:numId="23">
    <w:abstractNumId w:val="3"/>
  </w:num>
  <w:num w:numId="24">
    <w:abstractNumId w:val="2"/>
  </w:num>
  <w:num w:numId="25">
    <w:abstractNumId w:val="11"/>
  </w:num>
  <w:num w:numId="26">
    <w:abstractNumId w:val="9"/>
  </w:num>
  <w:num w:numId="27">
    <w:abstractNumId w:val="8"/>
  </w:num>
  <w:num w:numId="28">
    <w:abstractNumId w:val="7"/>
  </w:num>
  <w:num w:numId="29">
    <w:abstractNumId w:val="6"/>
  </w:num>
  <w:num w:numId="1000">
    <w:abstractNumId w:val="990"/>
  </w:num>
  <w:num w:numId="1001">
    <w:abstractNumId w:val="991"/>
  </w:num>
  <w:num w:numId="1002">
    <w:abstractNumId w:val="991"/>
  </w:num>
  <w:num w:numId="1003">
    <w:abstractNumId w:val="991"/>
  </w:num>
  <w:num w:numId="1004">
    <w:abstractNumId w:val="991"/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1"/>
  </w:num>
  <w:num w:numId="1007">
    <w:abstractNumId w:val="991"/>
  </w:num>
  <w:num w:numId="1008">
    <w:abstractNumId w:val="991"/>
  </w:num>
  <w:num w:numId="1009">
    <w:abstractNumId w:val="991"/>
  </w:num>
  <w:num w:numId="1010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hyphenationZone w:val="42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>
      <w:pPr>
        <w:spacing w:before="120" w:after="240" w:line="360" w:lineRule="auto"/>
      </w:pPr>
    </w:pPrDefault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uiPriority="9" w:qFormat="1"/>
    <w:lsdException w:name="heading 8" w:uiPriority="9" w:qFormat="1"/>
    <w:lsdException w:name="heading 9" w:uiPriority="9" w:qFormat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3" w:semiHidden="1" w:unhideWhenUsed="1"/>
    <w:lsdException w:name="List Bullet 4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3B2C5C"/>
  </w:style>
  <w:style w:type="paragraph" w:styleId="Nagwek1">
    <w:name w:val="heading 1"/>
    <w:basedOn w:val="Normalny"/>
    <w:next w:val="Normalny"/>
    <w:link w:val="Nagwek1Znak"/>
    <w:uiPriority w:val="9"/>
    <w:qFormat/>
    <w:rsid w:val="00446B7B"/>
    <w:pPr>
      <w:pBdr>
        <w:top w:val="single" w:sz="48" w:space="0" w:color="0F6FC6" w:themeColor="accent1"/>
        <w:left w:val="single" w:sz="48" w:space="0" w:color="0F6FC6" w:themeColor="accent1"/>
        <w:bottom w:val="single" w:sz="48" w:space="0" w:color="0F6FC6" w:themeColor="accent1"/>
        <w:right w:val="single" w:sz="48" w:space="0" w:color="0F6FC6" w:themeColor="accent1"/>
      </w:pBdr>
      <w:shd w:val="clear" w:color="auto" w:fill="0F6FC6" w:themeFill="accent1"/>
      <w:spacing w:before="240" w:after="120" w:line="240" w:lineRule="auto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A5AEF"/>
    <w:pPr>
      <w:pBdr>
        <w:top w:val="single" w:sz="24" w:space="0" w:color="C7E2FA" w:themeColor="accent1" w:themeTint="33"/>
        <w:left w:val="single" w:sz="24" w:space="0" w:color="C7E2FA" w:themeColor="accent1" w:themeTint="33"/>
        <w:bottom w:val="single" w:sz="24" w:space="0" w:color="C7E2FA" w:themeColor="accent1" w:themeTint="33"/>
        <w:right w:val="single" w:sz="24" w:space="0" w:color="C7E2FA" w:themeColor="accent1" w:themeTint="33"/>
      </w:pBdr>
      <w:shd w:val="clear" w:color="auto" w:fill="C7E2FA" w:themeFill="accent1" w:themeFillTint="33"/>
      <w:spacing w:after="0"/>
      <w:outlineLvl w:val="1"/>
    </w:pPr>
    <w:rPr>
      <w:caps/>
      <w:spacing w:val="15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5A5AEF"/>
    <w:pPr>
      <w:pBdr>
        <w:top w:val="single" w:sz="6" w:space="2" w:color="0F6FC6" w:themeColor="accent1"/>
      </w:pBdr>
      <w:spacing w:before="300" w:after="0"/>
      <w:outlineLvl w:val="2"/>
    </w:pPr>
    <w:rPr>
      <w:caps/>
      <w:color w:val="073662" w:themeColor="accent1" w:themeShade="7F"/>
      <w:spacing w:val="15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5A5AEF"/>
    <w:pPr>
      <w:pBdr>
        <w:top w:val="dotted" w:sz="6" w:space="2" w:color="0F6FC6" w:themeColor="accent1"/>
      </w:pBdr>
      <w:spacing w:before="200" w:after="0"/>
      <w:outlineLvl w:val="3"/>
    </w:pPr>
    <w:rPr>
      <w:caps/>
      <w:color w:val="0B5294" w:themeColor="accent1" w:themeShade="BF"/>
      <w:spacing w:val="10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5A5AEF"/>
    <w:pPr>
      <w:pBdr>
        <w:bottom w:val="single" w:sz="6" w:space="1" w:color="0F6FC6" w:themeColor="accent1"/>
      </w:pBdr>
      <w:spacing w:before="200" w:after="0"/>
      <w:outlineLvl w:val="4"/>
    </w:pPr>
    <w:rPr>
      <w:caps/>
      <w:color w:val="0B5294" w:themeColor="accent1" w:themeShade="BF"/>
      <w:spacing w:val="10"/>
    </w:rPr>
  </w:style>
  <w:style w:type="paragraph" w:styleId="Nagwek6">
    <w:name w:val="heading 6"/>
    <w:basedOn w:val="Normalny"/>
    <w:next w:val="Normalny"/>
    <w:link w:val="Nagwek6Znak"/>
    <w:uiPriority w:val="9"/>
    <w:unhideWhenUsed/>
    <w:qFormat/>
    <w:rsid w:val="005A5AEF"/>
    <w:pPr>
      <w:pBdr>
        <w:bottom w:val="dotted" w:sz="6" w:space="1" w:color="0F6FC6" w:themeColor="accent1"/>
      </w:pBdr>
      <w:spacing w:before="200" w:after="0"/>
      <w:outlineLvl w:val="5"/>
    </w:pPr>
    <w:rPr>
      <w:caps/>
      <w:color w:val="0B5294" w:themeColor="accent1" w:themeShade="BF"/>
      <w:spacing w:val="10"/>
    </w:rPr>
  </w:style>
  <w:style w:type="paragraph" w:styleId="Nagwek7">
    <w:name w:val="heading 7"/>
    <w:basedOn w:val="Normalny"/>
    <w:next w:val="Normalny"/>
    <w:link w:val="Nagwek7Znak"/>
    <w:uiPriority w:val="9"/>
    <w:unhideWhenUsed/>
    <w:qFormat/>
    <w:rsid w:val="005A5AEF"/>
    <w:pPr>
      <w:spacing w:before="200" w:after="0"/>
      <w:outlineLvl w:val="6"/>
    </w:pPr>
    <w:rPr>
      <w:caps/>
      <w:color w:val="0B5294" w:themeColor="accent1" w:themeShade="BF"/>
      <w:spacing w:val="10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5A5AEF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Nagwek9">
    <w:name w:val="heading 9"/>
    <w:basedOn w:val="Normalny"/>
    <w:next w:val="Normalny"/>
    <w:link w:val="Nagwek9Znak"/>
    <w:uiPriority w:val="9"/>
    <w:unhideWhenUsed/>
    <w:qFormat/>
    <w:rsid w:val="005A5AEF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pPr>
      <w:spacing w:before="180" w:after="180"/>
    </w:pPr>
  </w:style>
  <w:style w:type="paragraph" w:customStyle="1" w:styleId="FirstParagraph">
    <w:name w:val="First Paragraph"/>
    <w:basedOn w:val="Tekstpodstawowy"/>
    <w:next w:val="Tekstpodstawowy"/>
  </w:style>
  <w:style w:type="paragraph" w:customStyle="1" w:styleId="Compact">
    <w:name w:val="Compact"/>
    <w:basedOn w:val="Tekstpodstawowy"/>
    <w:pPr>
      <w:spacing w:before="36" w:after="36"/>
    </w:pPr>
  </w:style>
  <w:style w:type="paragraph" w:styleId="Tytu">
    <w:name w:val="Title"/>
    <w:basedOn w:val="Normalny"/>
    <w:next w:val="Normalny"/>
    <w:link w:val="TytuZnak"/>
    <w:uiPriority w:val="10"/>
    <w:qFormat/>
    <w:rsid w:val="005A5AEF"/>
    <w:pPr>
      <w:spacing w:before="0" w:after="0"/>
    </w:pPr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5A5AEF"/>
    <w:pPr>
      <w:spacing w:before="0" w:after="500" w:line="240" w:lineRule="auto"/>
    </w:pPr>
    <w:rPr>
      <w:caps/>
      <w:color w:val="337FD4" w:themeColor="text1" w:themeTint="A6"/>
      <w:spacing w:val="10"/>
      <w:sz w:val="21"/>
      <w:szCs w:val="21"/>
    </w:rPr>
  </w:style>
  <w:style w:type="paragraph" w:customStyle="1" w:styleId="Author">
    <w:name w:val="Author"/>
    <w:next w:val="Tekstpodstawowy"/>
    <w:pPr>
      <w:keepNext/>
      <w:keepLines/>
      <w:jc w:val="center"/>
    </w:pPr>
  </w:style>
  <w:style w:type="paragraph" w:styleId="Data">
    <w:name w:val="Date"/>
    <w:next w:val="Tekstpodstawowy"/>
    <w:pPr>
      <w:keepNext/>
      <w:keepLines/>
      <w:jc w:val="center"/>
    </w:pPr>
  </w:style>
  <w:style w:type="paragraph" w:customStyle="1" w:styleId="Abstract">
    <w:name w:val="Abstract"/>
    <w:basedOn w:val="Normalny"/>
    <w:next w:val="Tekstpodstawowy"/>
    <w:pPr>
      <w:keepNext/>
      <w:keepLines/>
      <w:spacing w:before="300" w:after="300"/>
    </w:pPr>
    <w:rPr>
      <w:sz w:val="20"/>
      <w:szCs w:val="20"/>
    </w:rPr>
  </w:style>
  <w:style w:type="paragraph" w:styleId="Bibliografia">
    <w:name w:val="Bibliography"/>
    <w:basedOn w:val="Normalny"/>
  </w:style>
  <w:style w:type="paragraph" w:styleId="Tekstblokowy">
    <w:name w:val="Block Text"/>
    <w:basedOn w:val="Tekstpodstawowy"/>
    <w:next w:val="Tekstpodstawowy"/>
    <w:uiPriority w:val="9"/>
    <w:unhideWhenUsed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Tekstprzypisudolnego">
    <w:name w:val="footnote text"/>
    <w:basedOn w:val="Normalny"/>
    <w:uiPriority w:val="9"/>
    <w:unhideWhenUsed/>
  </w:style>
  <w:style w:type="table" w:customStyle="1" w:styleId="Table">
    <w:name w:val="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ny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ny"/>
  </w:style>
  <w:style w:type="paragraph" w:styleId="Legenda">
    <w:name w:val="caption"/>
    <w:basedOn w:val="Normalny"/>
    <w:next w:val="Normalny"/>
    <w:link w:val="LegendaZnak"/>
    <w:uiPriority w:val="35"/>
    <w:unhideWhenUsed/>
    <w:qFormat/>
    <w:rsid w:val="005A5AEF"/>
    <w:rPr>
      <w:b/>
      <w:bCs/>
      <w:color w:val="0B5294" w:themeColor="accent1" w:themeShade="BF"/>
      <w:sz w:val="16"/>
      <w:szCs w:val="16"/>
    </w:rPr>
  </w:style>
  <w:style w:type="paragraph" w:customStyle="1" w:styleId="TableCaption">
    <w:name w:val="Table Caption"/>
    <w:basedOn w:val="Legenda"/>
    <w:pPr>
      <w:keepNext/>
    </w:pPr>
  </w:style>
  <w:style w:type="paragraph" w:customStyle="1" w:styleId="ImageCaption">
    <w:name w:val="Image Caption"/>
    <w:basedOn w:val="Legenda"/>
  </w:style>
  <w:style w:type="paragraph" w:customStyle="1" w:styleId="Figure">
    <w:name w:val="Figure"/>
    <w:basedOn w:val="Normalny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LegendaZnak">
    <w:name w:val="Legenda Znak"/>
    <w:basedOn w:val="Domylnaczcionkaakapitu"/>
    <w:link w:val="Legenda"/>
    <w:uiPriority w:val="35"/>
    <w:rPr>
      <w:b/>
      <w:bCs/>
      <w:color w:val="0B5294" w:themeColor="accent1" w:themeShade="BF"/>
      <w:sz w:val="16"/>
      <w:szCs w:val="16"/>
    </w:rPr>
  </w:style>
  <w:style w:type="character" w:customStyle="1" w:styleId="VerbatimChar">
    <w:name w:val="Verbatim Char"/>
    <w:basedOn w:val="LegendaZnak"/>
    <w:link w:val="SourceCode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styleId="Odwoanieprzypisudolnego">
    <w:name w:val="footnote reference"/>
    <w:basedOn w:val="LegendaZnak"/>
    <w:rPr>
      <w:b/>
      <w:bCs/>
      <w:color w:val="0B5294" w:themeColor="accent1" w:themeShade="BF"/>
      <w:sz w:val="16"/>
      <w:szCs w:val="16"/>
      <w:vertAlign w:val="superscript"/>
    </w:rPr>
  </w:style>
  <w:style w:type="character" w:styleId="Hipercze">
    <w:name w:val="Hyperlink"/>
    <w:basedOn w:val="LegendaZnak"/>
    <w:rPr>
      <w:b/>
      <w:bCs/>
      <w:color w:val="0F6FC6" w:themeColor="accent1"/>
      <w:sz w:val="16"/>
      <w:szCs w:val="16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5A5AEF"/>
    <w:pPr>
      <w:outlineLvl w:val="9"/>
    </w:pPr>
  </w:style>
  <w:style w:type="character" w:customStyle="1" w:styleId="Nagwek1Znak">
    <w:name w:val="Nagłówek 1 Znak"/>
    <w:basedOn w:val="Domylnaczcionkaakapitu"/>
    <w:link w:val="Nagwek1"/>
    <w:uiPriority w:val="9"/>
    <w:rsid w:val="00446B7B"/>
    <w:rPr>
      <w:caps/>
      <w:color w:val="FFFFFF" w:themeColor="background1"/>
      <w:spacing w:val="15"/>
      <w:sz w:val="22"/>
      <w:szCs w:val="22"/>
      <w:shd w:val="clear" w:color="auto" w:fill="0F6FC6" w:themeFill="accent1"/>
    </w:rPr>
  </w:style>
  <w:style w:type="character" w:customStyle="1" w:styleId="Nagwek2Znak">
    <w:name w:val="Nagłówek 2 Znak"/>
    <w:basedOn w:val="Domylnaczcionkaakapitu"/>
    <w:link w:val="Nagwek2"/>
    <w:uiPriority w:val="9"/>
    <w:rsid w:val="005A5AEF"/>
    <w:rPr>
      <w:caps/>
      <w:spacing w:val="15"/>
      <w:shd w:val="clear" w:color="auto" w:fill="C7E2FA" w:themeFill="accent1" w:themeFillTint="33"/>
    </w:rPr>
  </w:style>
  <w:style w:type="character" w:customStyle="1" w:styleId="Nagwek3Znak">
    <w:name w:val="Nagłówek 3 Znak"/>
    <w:basedOn w:val="Domylnaczcionkaakapitu"/>
    <w:link w:val="Nagwek3"/>
    <w:uiPriority w:val="9"/>
    <w:rsid w:val="005A5AEF"/>
    <w:rPr>
      <w:caps/>
      <w:color w:val="073662" w:themeColor="accent1" w:themeShade="7F"/>
      <w:spacing w:val="15"/>
    </w:rPr>
  </w:style>
  <w:style w:type="character" w:customStyle="1" w:styleId="Nagwek4Znak">
    <w:name w:val="Nagłówek 4 Znak"/>
    <w:basedOn w:val="Domylnaczcionkaakapitu"/>
    <w:link w:val="Nagwek4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5Znak">
    <w:name w:val="Nagłówek 5 Znak"/>
    <w:basedOn w:val="Domylnaczcionkaakapitu"/>
    <w:link w:val="Nagwek5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6Znak">
    <w:name w:val="Nagłówek 6 Znak"/>
    <w:basedOn w:val="Domylnaczcionkaakapitu"/>
    <w:link w:val="Nagwek6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7Znak">
    <w:name w:val="Nagłówek 7 Znak"/>
    <w:basedOn w:val="Domylnaczcionkaakapitu"/>
    <w:link w:val="Nagwek7"/>
    <w:uiPriority w:val="9"/>
    <w:rsid w:val="005A5AEF"/>
    <w:rPr>
      <w:caps/>
      <w:color w:val="0B5294" w:themeColor="accent1" w:themeShade="BF"/>
      <w:spacing w:val="10"/>
    </w:rPr>
  </w:style>
  <w:style w:type="character" w:customStyle="1" w:styleId="Nagwek8Znak">
    <w:name w:val="Nagłówek 8 Znak"/>
    <w:basedOn w:val="Domylnaczcionkaakapitu"/>
    <w:link w:val="Nagwek8"/>
    <w:uiPriority w:val="9"/>
    <w:rsid w:val="005A5AEF"/>
    <w:rPr>
      <w:caps/>
      <w:spacing w:val="10"/>
      <w:sz w:val="18"/>
      <w:szCs w:val="18"/>
    </w:rPr>
  </w:style>
  <w:style w:type="character" w:customStyle="1" w:styleId="Nagwek9Znak">
    <w:name w:val="Nagłówek 9 Znak"/>
    <w:basedOn w:val="Domylnaczcionkaakapitu"/>
    <w:link w:val="Nagwek9"/>
    <w:uiPriority w:val="9"/>
    <w:rsid w:val="005A5AEF"/>
    <w:rPr>
      <w:i/>
      <w:iCs/>
      <w:caps/>
      <w:spacing w:val="10"/>
      <w:sz w:val="18"/>
      <w:szCs w:val="18"/>
    </w:rPr>
  </w:style>
  <w:style w:type="character" w:customStyle="1" w:styleId="TytuZnak">
    <w:name w:val="Tytuł Znak"/>
    <w:basedOn w:val="Domylnaczcionkaakapitu"/>
    <w:link w:val="Tytu"/>
    <w:uiPriority w:val="10"/>
    <w:rsid w:val="005A5AEF"/>
    <w:rPr>
      <w:rFonts w:asciiTheme="majorHAnsi" w:eastAsiaTheme="majorEastAsia" w:hAnsiTheme="majorHAnsi" w:cstheme="majorBidi"/>
      <w:caps/>
      <w:color w:val="0F6FC6" w:themeColor="accent1"/>
      <w:spacing w:val="10"/>
      <w:sz w:val="52"/>
      <w:szCs w:val="52"/>
    </w:rPr>
  </w:style>
  <w:style w:type="character" w:customStyle="1" w:styleId="PodtytuZnak">
    <w:name w:val="Podtytuł Znak"/>
    <w:basedOn w:val="Domylnaczcionkaakapitu"/>
    <w:link w:val="Podtytu"/>
    <w:uiPriority w:val="11"/>
    <w:rsid w:val="005A5AEF"/>
    <w:rPr>
      <w:caps/>
      <w:color w:val="337FD4" w:themeColor="text1" w:themeTint="A6"/>
      <w:spacing w:val="10"/>
      <w:sz w:val="21"/>
      <w:szCs w:val="21"/>
    </w:rPr>
  </w:style>
  <w:style w:type="character" w:styleId="Pogrubienie">
    <w:name w:val="Strong"/>
    <w:uiPriority w:val="22"/>
    <w:qFormat/>
    <w:rsid w:val="005A5AEF"/>
    <w:rPr>
      <w:b/>
      <w:bCs/>
    </w:rPr>
  </w:style>
  <w:style w:type="character" w:styleId="Uwydatnienie">
    <w:name w:val="Emphasis"/>
    <w:uiPriority w:val="20"/>
    <w:qFormat/>
    <w:rsid w:val="005A5AEF"/>
    <w:rPr>
      <w:caps/>
      <w:color w:val="073662" w:themeColor="accent1" w:themeShade="7F"/>
      <w:spacing w:val="5"/>
    </w:rPr>
  </w:style>
  <w:style w:type="paragraph" w:styleId="Bezodstpw">
    <w:name w:val="No Spacing"/>
    <w:uiPriority w:val="1"/>
    <w:qFormat/>
    <w:rsid w:val="005A5AEF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5A5AEF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5A5AEF"/>
    <w:rPr>
      <w:i/>
      <w:iCs/>
      <w:sz w:val="24"/>
      <w:szCs w:val="24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5A5AEF"/>
    <w:pPr>
      <w:spacing w:before="240" w:line="240" w:lineRule="auto"/>
      <w:ind w:left="1080" w:right="1080"/>
      <w:jc w:val="center"/>
    </w:pPr>
    <w:rPr>
      <w:color w:val="0F6FC6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5A5AEF"/>
    <w:rPr>
      <w:color w:val="0F6FC6" w:themeColor="accent1"/>
      <w:sz w:val="24"/>
      <w:szCs w:val="24"/>
    </w:rPr>
  </w:style>
  <w:style w:type="character" w:styleId="Wyrnieniedelikatne">
    <w:name w:val="Subtle Emphasis"/>
    <w:uiPriority w:val="19"/>
    <w:qFormat/>
    <w:rsid w:val="005A5AEF"/>
    <w:rPr>
      <w:i/>
      <w:iCs/>
      <w:color w:val="073662" w:themeColor="accent1" w:themeShade="7F"/>
    </w:rPr>
  </w:style>
  <w:style w:type="character" w:styleId="Wyrnienieintensywne">
    <w:name w:val="Intense Emphasis"/>
    <w:uiPriority w:val="21"/>
    <w:qFormat/>
    <w:rsid w:val="005A5AEF"/>
    <w:rPr>
      <w:b/>
      <w:bCs/>
      <w:caps/>
      <w:color w:val="073662" w:themeColor="accent1" w:themeShade="7F"/>
      <w:spacing w:val="10"/>
    </w:rPr>
  </w:style>
  <w:style w:type="character" w:styleId="Odwoaniedelikatne">
    <w:name w:val="Subtle Reference"/>
    <w:uiPriority w:val="31"/>
    <w:qFormat/>
    <w:rsid w:val="005A5AEF"/>
    <w:rPr>
      <w:b/>
      <w:bCs/>
      <w:color w:val="0F6FC6" w:themeColor="accent1"/>
    </w:rPr>
  </w:style>
  <w:style w:type="character" w:styleId="Odwoanieintensywne">
    <w:name w:val="Intense Reference"/>
    <w:uiPriority w:val="32"/>
    <w:qFormat/>
    <w:rsid w:val="005A5AEF"/>
    <w:rPr>
      <w:b/>
      <w:bCs/>
      <w:i/>
      <w:iCs/>
      <w:caps/>
      <w:color w:val="0F6FC6" w:themeColor="accent1"/>
    </w:rPr>
  </w:style>
  <w:style w:type="character" w:styleId="Tytuksiki">
    <w:name w:val="Book Title"/>
    <w:uiPriority w:val="33"/>
    <w:qFormat/>
    <w:rsid w:val="005A5AEF"/>
    <w:rPr>
      <w:b/>
      <w:bCs/>
      <w:i/>
      <w:iCs/>
      <w:spacing w:val="0"/>
    </w:rPr>
  </w:style>
  <w:style w:type="paragraph" w:customStyle="1" w:styleId="SourceCode">
    <w:name w:val="Source Code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DataTypeTok">
    <w:name w:val="DataTypeTok"/>
    <w:basedOn w:val="VerbatimChar"/>
    <w:rPr>
      <w:rFonts w:ascii="Consolas" w:hAnsi="Consolas"/>
      <w:b/>
      <w:bCs/>
      <w:color w:val="902000"/>
      <w:sz w:val="22"/>
      <w:szCs w:val="16"/>
    </w:rPr>
  </w:style>
  <w:style w:type="character" w:customStyle="1" w:styleId="DecValTok">
    <w:name w:val="DecVal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BaseNTok">
    <w:name w:val="BaseN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FloatTok">
    <w:name w:val="FloatTok"/>
    <w:basedOn w:val="VerbatimChar"/>
    <w:rPr>
      <w:rFonts w:ascii="Consolas" w:hAnsi="Consolas"/>
      <w:b/>
      <w:bCs/>
      <w:color w:val="40A070"/>
      <w:sz w:val="22"/>
      <w:szCs w:val="16"/>
    </w:rPr>
  </w:style>
  <w:style w:type="character" w:customStyle="1" w:styleId="ConstantTok">
    <w:name w:val="ConstantTok"/>
    <w:basedOn w:val="VerbatimChar"/>
    <w:rPr>
      <w:rFonts w:ascii="Consolas" w:hAnsi="Consolas"/>
      <w:b/>
      <w:bCs/>
      <w:color w:val="880000"/>
      <w:sz w:val="22"/>
      <w:szCs w:val="16"/>
    </w:rPr>
  </w:style>
  <w:style w:type="character" w:customStyle="1" w:styleId="CharTok">
    <w:name w:val="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CharTok">
    <w:name w:val="SpecialChar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tringTok">
    <w:name w:val="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VerbatimStringTok">
    <w:name w:val="VerbatimStringTok"/>
    <w:basedOn w:val="VerbatimChar"/>
    <w:rPr>
      <w:rFonts w:ascii="Consolas" w:hAnsi="Consolas"/>
      <w:b/>
      <w:bCs/>
      <w:color w:val="4070A0"/>
      <w:sz w:val="22"/>
      <w:szCs w:val="16"/>
    </w:rPr>
  </w:style>
  <w:style w:type="character" w:customStyle="1" w:styleId="SpecialStringTok">
    <w:name w:val="SpecialStringTok"/>
    <w:basedOn w:val="VerbatimChar"/>
    <w:rPr>
      <w:rFonts w:ascii="Consolas" w:hAnsi="Consolas"/>
      <w:b/>
      <w:bCs/>
      <w:color w:val="BB6688"/>
      <w:sz w:val="22"/>
      <w:szCs w:val="16"/>
    </w:rPr>
  </w:style>
  <w:style w:type="character" w:customStyle="1" w:styleId="ImportTok">
    <w:name w:val="Import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CommentTok">
    <w:name w:val="Comment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DocumentationTok">
    <w:name w:val="DocumentationTok"/>
    <w:basedOn w:val="VerbatimChar"/>
    <w:rPr>
      <w:rFonts w:ascii="Consolas" w:hAnsi="Consolas"/>
      <w:b/>
      <w:bCs/>
      <w:i/>
      <w:color w:val="BA2121"/>
      <w:sz w:val="22"/>
      <w:szCs w:val="16"/>
    </w:rPr>
  </w:style>
  <w:style w:type="character" w:customStyle="1" w:styleId="AnnotationTok">
    <w:name w:val="Annot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CommentVarTok">
    <w:name w:val="CommentVar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OtherTok">
    <w:name w:val="Other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FunctionTok">
    <w:name w:val="FunctionTok"/>
    <w:basedOn w:val="VerbatimChar"/>
    <w:rPr>
      <w:rFonts w:ascii="Consolas" w:hAnsi="Consolas"/>
      <w:b/>
      <w:bCs/>
      <w:color w:val="06287E"/>
      <w:sz w:val="22"/>
      <w:szCs w:val="16"/>
    </w:rPr>
  </w:style>
  <w:style w:type="character" w:customStyle="1" w:styleId="VariableTok">
    <w:name w:val="VariableTok"/>
    <w:basedOn w:val="VerbatimChar"/>
    <w:rPr>
      <w:rFonts w:ascii="Consolas" w:hAnsi="Consolas"/>
      <w:b/>
      <w:bCs/>
      <w:color w:val="19177C"/>
      <w:sz w:val="22"/>
      <w:szCs w:val="16"/>
    </w:rPr>
  </w:style>
  <w:style w:type="character" w:customStyle="1" w:styleId="ControlFlowTok">
    <w:name w:val="ControlFlowTok"/>
    <w:basedOn w:val="VerbatimChar"/>
    <w:rPr>
      <w:rFonts w:ascii="Consolas" w:hAnsi="Consolas"/>
      <w:b/>
      <w:bCs/>
      <w:color w:val="007020"/>
      <w:sz w:val="22"/>
      <w:szCs w:val="16"/>
    </w:rPr>
  </w:style>
  <w:style w:type="character" w:customStyle="1" w:styleId="OperatorTok">
    <w:name w:val="OperatorTok"/>
    <w:basedOn w:val="VerbatimChar"/>
    <w:rPr>
      <w:rFonts w:ascii="Consolas" w:hAnsi="Consolas"/>
      <w:b/>
      <w:bCs/>
      <w:color w:val="666666"/>
      <w:sz w:val="22"/>
      <w:szCs w:val="16"/>
    </w:rPr>
  </w:style>
  <w:style w:type="character" w:customStyle="1" w:styleId="BuiltInTok">
    <w:name w:val="BuiltI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ExtensionTok">
    <w:name w:val="Extension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PreprocessorTok">
    <w:name w:val="PreprocessorTok"/>
    <w:basedOn w:val="VerbatimChar"/>
    <w:rPr>
      <w:rFonts w:ascii="Consolas" w:hAnsi="Consolas"/>
      <w:b/>
      <w:bCs/>
      <w:color w:val="BC7A00"/>
      <w:sz w:val="22"/>
      <w:szCs w:val="16"/>
    </w:rPr>
  </w:style>
  <w:style w:type="character" w:customStyle="1" w:styleId="AttributeTok">
    <w:name w:val="AttributeTok"/>
    <w:basedOn w:val="VerbatimChar"/>
    <w:rPr>
      <w:rFonts w:ascii="Consolas" w:hAnsi="Consolas"/>
      <w:b/>
      <w:bCs/>
      <w:color w:val="7D9029"/>
      <w:sz w:val="22"/>
      <w:szCs w:val="16"/>
    </w:rPr>
  </w:style>
  <w:style w:type="character" w:customStyle="1" w:styleId="RegionMarkerTok">
    <w:name w:val="RegionMarker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character" w:customStyle="1" w:styleId="InformationTok">
    <w:name w:val="Information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WarningTok">
    <w:name w:val="WarningTok"/>
    <w:basedOn w:val="VerbatimChar"/>
    <w:rPr>
      <w:rFonts w:ascii="Consolas" w:hAnsi="Consolas"/>
      <w:b/>
      <w:bCs/>
      <w:i/>
      <w:color w:val="60A0B0"/>
      <w:sz w:val="22"/>
      <w:szCs w:val="16"/>
    </w:rPr>
  </w:style>
  <w:style w:type="character" w:customStyle="1" w:styleId="AlertTok">
    <w:name w:val="Alert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ErrorTok">
    <w:name w:val="ErrorTok"/>
    <w:basedOn w:val="VerbatimChar"/>
    <w:rPr>
      <w:rFonts w:ascii="Consolas" w:hAnsi="Consolas"/>
      <w:b/>
      <w:bCs/>
      <w:color w:val="FF0000"/>
      <w:sz w:val="22"/>
      <w:szCs w:val="16"/>
    </w:rPr>
  </w:style>
  <w:style w:type="character" w:customStyle="1" w:styleId="NormalTok">
    <w:name w:val="NormalTok"/>
    <w:basedOn w:val="VerbatimChar"/>
    <w:rPr>
      <w:rFonts w:ascii="Consolas" w:hAnsi="Consolas"/>
      <w:b/>
      <w:bCs/>
      <w:color w:val="0B5294" w:themeColor="accent1" w:themeShade="BF"/>
      <w:sz w:val="22"/>
      <w:szCs w:val="16"/>
    </w:rPr>
  </w:style>
  <w:style w:type="paragraph" w:styleId="Nagwek">
    <w:name w:val="header"/>
    <w:basedOn w:val="Normalny"/>
    <w:link w:val="NagwekZnak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D02CFB"/>
  </w:style>
  <w:style w:type="character" w:customStyle="1" w:styleId="NagwekZnak">
    <w:name w:val="Nagłówek Znak"/>
    <w:basedOn w:val="Domylnaczcionkaakapitu"/>
    <w:link w:val="Nagwek"/>
    <w:rsid w:val="00583B03"/>
  </w:style>
  <w:style w:type="paragraph" w:styleId="Stopka">
    <w:name w:val="footer"/>
    <w:basedOn w:val="Normalny"/>
    <w:link w:val="StopkaZnak"/>
    <w:uiPriority w:val="99"/>
    <w:unhideWhenUsed/>
    <w:rsid w:val="00583B03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83B03"/>
  </w:style>
  <w:style w:type="character" w:styleId="Nierozpoznanawzmianka">
    <w:name w:val="Unresolved Mention"/>
    <w:basedOn w:val="Domylnaczcionkaakapitu"/>
    <w:uiPriority w:val="99"/>
    <w:semiHidden/>
    <w:unhideWhenUsed/>
    <w:rsid w:val="00583B0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2.xml" /><Relationship Id="rId11" Type="http://schemas.openxmlformats.org/officeDocument/2006/relationships/header" Target="header1.xml" /><Relationship Id="rId12" Type="http://schemas.openxmlformats.org/officeDocument/2006/relationships/footer" Target="footer2.xml" /><Relationship Id="rId13" Type="http://schemas.openxmlformats.org/officeDocument/2006/relationships/footer" Target="footer1.xml" /><Relationship Id="rId14" Type="http://schemas.openxmlformats.org/officeDocument/2006/relationships/footer" Target="footer3.xml" /><Relationship Type="http://schemas.openxmlformats.org/officeDocument/2006/relationships/hyperlink" Id="rId33" Target="/cdn-cgi/l/email-protection" TargetMode="External" /><Relationship Type="http://schemas.openxmlformats.org/officeDocument/2006/relationships/hyperlink" Id="rId31" Target="https://pliki.progressproject.pl/pliki/img/common/oswiadczenie_o_finansowaniu_wzor_13.09.2019.docx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33" Target="/cdn-cgi/l/email-protection" TargetMode="External" /><Relationship Type="http://schemas.openxmlformats.org/officeDocument/2006/relationships/hyperlink" Id="rId31" Target="https://pliki.progressproject.pl/pliki/img/common/oswiadczenie_o_finansowaniu_wzor_13.09.2019.docx" TargetMode="External" 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ProgressProject">
      <a:dk1>
        <a:srgbClr val="17406D"/>
      </a:dk1>
      <a:lt1>
        <a:sysClr val="window" lastClr="FFFFFF"/>
      </a:lt1>
      <a:dk2>
        <a:srgbClr val="17406D"/>
      </a:dk2>
      <a:lt2>
        <a:srgbClr val="DBEFF9"/>
      </a:lt2>
      <a:accent1>
        <a:srgbClr val="0F6FC6"/>
      </a:accent1>
      <a:accent2>
        <a:srgbClr val="009DD9"/>
      </a:accent2>
      <a:accent3>
        <a:srgbClr val="0BD0D9"/>
      </a:accent3>
      <a:accent4>
        <a:srgbClr val="10CF9B"/>
      </a:accent4>
      <a:accent5>
        <a:srgbClr val="7CCA62"/>
      </a:accent5>
      <a:accent6>
        <a:srgbClr val="A5C249"/>
      </a:accent6>
      <a:hlink>
        <a:srgbClr val="F49100"/>
      </a:hlink>
      <a:folHlink>
        <a:srgbClr val="85DFD0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4119</TotalTime>
  <Pages>7</Pages>
  <Words>1243</Words>
  <Characters>7461</Characters>
  <Application>Microsoft Office Word</Application>
  <DocSecurity>0</DocSecurity>
  <Lines>62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Controlling w logistyce - Controlling operacyjny</vt:lpstr>
    </vt:vector>
  </TitlesOfParts>
  <Company/>
  <LinksUpToDate>false</LinksUpToDate>
  <CharactersWithSpaces>8687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Dystrybucja i planowanie dostaw</dc:title>
  <dc:creator/>
  <cp:keywords/>
  <dcterms:created xsi:type="dcterms:W3CDTF">2024-02-08T07:03:24Z</dcterms:created>
  <dcterms:modified xsi:type="dcterms:W3CDTF">2024-02-08T07:03:24Z</dcterms:modified>
</cp:coreProperties>
</file>