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Negocjacje</w:t>
      </w:r>
      <w:r>
        <w:t xml:space="preserve"> </w:t>
      </w:r>
      <w:r>
        <w:t xml:space="preserve">zakupowe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21-22 lutego 2024 Warszawa</w:t>
      </w:r>
    </w:p>
    <w:p>
      <w:pPr>
        <w:pStyle w:val="Compact"/>
        <w:numPr>
          <w:numId w:val="1001"/>
          <w:ilvl w:val="0"/>
        </w:numPr>
      </w:pPr>
      <w:r>
        <w:t xml:space="preserve">28-29 lutego 2024 Online</w:t>
      </w:r>
    </w:p>
    <w:p>
      <w:pPr>
        <w:pStyle w:val="Compact"/>
        <w:numPr>
          <w:numId w:val="1001"/>
          <w:ilvl w:val="0"/>
        </w:numPr>
      </w:pPr>
      <w:r>
        <w:t xml:space="preserve">6-7 marca 2024 Wrocław</w:t>
      </w:r>
    </w:p>
    <w:p>
      <w:pPr>
        <w:pStyle w:val="Compact"/>
        <w:numPr>
          <w:numId w:val="1001"/>
          <w:ilvl w:val="0"/>
        </w:numPr>
      </w:pPr>
      <w:r>
        <w:t xml:space="preserve">13-14 marca 2024 Warszawa</w:t>
      </w:r>
    </w:p>
    <w:p>
      <w:pPr>
        <w:pStyle w:val="Compact"/>
        <w:numPr>
          <w:numId w:val="1001"/>
          <w:ilvl w:val="0"/>
        </w:numPr>
      </w:pPr>
      <w:r>
        <w:t xml:space="preserve">20-21 marca 2024 Zakopane</w:t>
      </w:r>
    </w:p>
    <w:p>
      <w:pPr>
        <w:pStyle w:val="Compact"/>
        <w:numPr>
          <w:numId w:val="1001"/>
          <w:ilvl w:val="0"/>
        </w:numPr>
      </w:pPr>
      <w:r>
        <w:t xml:space="preserve">3-4 kwietnia 2024 Wrocław</w:t>
      </w:r>
    </w:p>
    <w:p>
      <w:pPr>
        <w:pStyle w:val="Compact"/>
        <w:numPr>
          <w:numId w:val="1001"/>
          <w:ilvl w:val="0"/>
        </w:numPr>
      </w:pPr>
      <w:r>
        <w:t xml:space="preserve">10-11 kwietnia 2024 Szczecin</w:t>
      </w:r>
    </w:p>
    <w:p>
      <w:pPr>
        <w:pStyle w:val="Compact"/>
        <w:numPr>
          <w:numId w:val="1001"/>
          <w:ilvl w:val="0"/>
        </w:numPr>
      </w:pPr>
      <w:r>
        <w:t xml:space="preserve">24-25 kwietnia 2024 Warszawa</w:t>
      </w:r>
    </w:p>
    <w:p>
      <w:pPr>
        <w:pStyle w:val="Compact"/>
        <w:numPr>
          <w:numId w:val="1001"/>
          <w:ilvl w:val="0"/>
        </w:numPr>
      </w:pPr>
      <w:r>
        <w:t xml:space="preserve">8-9 maja 2024 Online</w:t>
      </w:r>
    </w:p>
    <w:p>
      <w:pPr>
        <w:pStyle w:val="Compact"/>
        <w:numPr>
          <w:numId w:val="1001"/>
          <w:ilvl w:val="0"/>
        </w:numPr>
      </w:pPr>
      <w:r>
        <w:t xml:space="preserve">22-23 maja 2024 Kraków</w:t>
      </w:r>
    </w:p>
    <w:p>
      <w:pPr>
        <w:pStyle w:val="Compact"/>
        <w:numPr>
          <w:numId w:val="1001"/>
          <w:ilvl w:val="0"/>
        </w:numPr>
      </w:pPr>
      <w:r>
        <w:t xml:space="preserve">5-6 czerwca 2024 Wrocław</w:t>
      </w:r>
    </w:p>
    <w:p>
      <w:pPr>
        <w:pStyle w:val="Compact"/>
        <w:numPr>
          <w:numId w:val="1001"/>
          <w:ilvl w:val="0"/>
        </w:numPr>
      </w:pPr>
      <w:r>
        <w:t xml:space="preserve">12-13 czerwca 2024 Gdańsk</w:t>
      </w:r>
    </w:p>
    <w:p>
      <w:pPr>
        <w:pStyle w:val="Compact"/>
        <w:numPr>
          <w:numId w:val="1001"/>
          <w:ilvl w:val="0"/>
        </w:numPr>
      </w:pPr>
      <w:r>
        <w:t xml:space="preserve">19-20 czerwca 2024 Warszawa</w:t>
      </w:r>
    </w:p>
    <w:p>
      <w:pPr>
        <w:pStyle w:val="Compact"/>
        <w:numPr>
          <w:numId w:val="1001"/>
          <w:ilvl w:val="0"/>
        </w:numPr>
      </w:pPr>
      <w:r>
        <w:t xml:space="preserve">26-27 czerwca 2024 Online</w:t>
      </w:r>
    </w:p>
    <w:p>
      <w:pPr>
        <w:pStyle w:val="Compact"/>
        <w:numPr>
          <w:numId w:val="1001"/>
          <w:ilvl w:val="0"/>
        </w:numPr>
      </w:pPr>
      <w:r>
        <w:t xml:space="preserve">3-4 lipca 2024 Online</w:t>
      </w:r>
    </w:p>
    <w:p>
      <w:pPr>
        <w:pStyle w:val="Compact"/>
        <w:numPr>
          <w:numId w:val="1001"/>
          <w:ilvl w:val="0"/>
        </w:numPr>
      </w:pPr>
      <w:r>
        <w:t xml:space="preserve">24-25 lipca 2024 Online</w:t>
      </w:r>
    </w:p>
    <w:p>
      <w:pPr>
        <w:pStyle w:val="Compact"/>
        <w:numPr>
          <w:numId w:val="1002"/>
          <w:ilvl w:val="0"/>
        </w:numPr>
      </w:pPr>
      <w:r>
        <w:t xml:space="preserve">21-22 sierpnia 2024 Online</w:t>
      </w:r>
    </w:p>
    <w:p>
      <w:pPr>
        <w:pStyle w:val="Compact"/>
        <w:numPr>
          <w:numId w:val="1002"/>
          <w:ilvl w:val="0"/>
        </w:numPr>
      </w:pPr>
      <w:r>
        <w:t xml:space="preserve">28-29 sierpnia 2024 Gdańsk</w:t>
      </w:r>
    </w:p>
    <w:p>
      <w:pPr>
        <w:pStyle w:val="Compact"/>
        <w:numPr>
          <w:numId w:val="1002"/>
          <w:ilvl w:val="0"/>
        </w:numPr>
      </w:pPr>
      <w:r>
        <w:t xml:space="preserve">4-5 września 2024 Kraków</w:t>
      </w:r>
    </w:p>
    <w:p>
      <w:pPr>
        <w:pStyle w:val="Compact"/>
        <w:numPr>
          <w:numId w:val="1002"/>
          <w:ilvl w:val="0"/>
        </w:numPr>
      </w:pPr>
      <w:r>
        <w:t xml:space="preserve">11-12 września 2024 Katowice</w:t>
      </w:r>
    </w:p>
    <w:p>
      <w:pPr>
        <w:pStyle w:val="Compact"/>
        <w:numPr>
          <w:numId w:val="1002"/>
          <w:ilvl w:val="0"/>
        </w:numPr>
      </w:pPr>
      <w:r>
        <w:t xml:space="preserve">18-19 września 2024 Warszawa</w:t>
      </w:r>
    </w:p>
    <w:p>
      <w:pPr>
        <w:pStyle w:val="Compact"/>
        <w:numPr>
          <w:numId w:val="1002"/>
          <w:ilvl w:val="0"/>
        </w:numPr>
      </w:pPr>
      <w:r>
        <w:t xml:space="preserve">25-26 września 2024 Wrocław</w:t>
      </w:r>
    </w:p>
    <w:p>
      <w:pPr>
        <w:pStyle w:val="Compact"/>
        <w:numPr>
          <w:numId w:val="1002"/>
          <w:ilvl w:val="0"/>
        </w:numPr>
      </w:pPr>
      <w:r>
        <w:t xml:space="preserve">2-3 października 2024 Poznań</w:t>
      </w:r>
    </w:p>
    <w:p>
      <w:pPr>
        <w:pStyle w:val="Compact"/>
        <w:numPr>
          <w:numId w:val="1002"/>
          <w:ilvl w:val="0"/>
        </w:numPr>
      </w:pPr>
      <w:r>
        <w:t xml:space="preserve">9-10 października 2024 Warszawa</w:t>
      </w:r>
    </w:p>
    <w:p>
      <w:pPr>
        <w:pStyle w:val="Compact"/>
        <w:numPr>
          <w:numId w:val="1002"/>
          <w:ilvl w:val="0"/>
        </w:numPr>
      </w:pPr>
      <w:r>
        <w:t xml:space="preserve">16-17 października 2024 Kraków</w:t>
      </w:r>
    </w:p>
    <w:p>
      <w:pPr>
        <w:pStyle w:val="Compact"/>
        <w:numPr>
          <w:numId w:val="1002"/>
          <w:ilvl w:val="0"/>
        </w:numPr>
      </w:pPr>
      <w:r>
        <w:t xml:space="preserve">23-24 października 2024 Wrocław</w:t>
      </w:r>
    </w:p>
    <w:p>
      <w:pPr>
        <w:pStyle w:val="Compact"/>
        <w:numPr>
          <w:numId w:val="1002"/>
          <w:ilvl w:val="0"/>
        </w:numPr>
      </w:pPr>
      <w:r>
        <w:t xml:space="preserve">6-7 listopada 2024 Poznań</w:t>
      </w:r>
    </w:p>
    <w:p>
      <w:pPr>
        <w:pStyle w:val="Compact"/>
        <w:numPr>
          <w:numId w:val="1002"/>
          <w:ilvl w:val="0"/>
        </w:numPr>
      </w:pPr>
      <w:r>
        <w:t xml:space="preserve">13-14 listopada 2024 Katowice</w:t>
      </w:r>
    </w:p>
    <w:p>
      <w:pPr>
        <w:pStyle w:val="Compact"/>
        <w:numPr>
          <w:numId w:val="1002"/>
          <w:ilvl w:val="0"/>
        </w:numPr>
      </w:pPr>
      <w:r>
        <w:t xml:space="preserve">20-21 listopada 2024 Warszawa</w:t>
      </w:r>
    </w:p>
    <w:p>
      <w:pPr>
        <w:pStyle w:val="Compact"/>
        <w:numPr>
          <w:numId w:val="1002"/>
          <w:ilvl w:val="0"/>
        </w:numPr>
      </w:pPr>
      <w:r>
        <w:t xml:space="preserve">27-28 listopada 2024 Wrocław</w:t>
      </w:r>
    </w:p>
    <w:p>
      <w:pPr>
        <w:pStyle w:val="Compact"/>
        <w:numPr>
          <w:numId w:val="1002"/>
          <w:ilvl w:val="0"/>
        </w:numPr>
      </w:pPr>
      <w:r>
        <w:t xml:space="preserve">11-12 grudnia 2024 Zakopane</w:t>
      </w:r>
    </w:p>
    <w:p>
      <w:pPr>
        <w:pStyle w:val="Compact"/>
        <w:numPr>
          <w:numId w:val="1002"/>
          <w:ilvl w:val="0"/>
        </w:numPr>
      </w:pPr>
      <w:r>
        <w:t xml:space="preserve">16-17 grudnia 2024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Nagwek2"/>
      </w:pPr>
      <w:bookmarkStart w:id="25" w:name="section"/>
      <w:r>
        <w:t xml:space="preserve"> </w:t>
      </w:r>
      <w:bookmarkEnd w:id="25"/>
    </w:p>
    <w:p>
      <w:pPr>
        <w:pStyle w:val="FirstParagraph"/>
      </w:pPr>
      <w:r>
        <w:t xml:space="preserve">Trening jest dwudniowym kompendium praktyki wpływu negocjacyjnego, opartym na wysokozaawansowanych technikach psychologicznych i socjotechnicznych. W przebiegu treningu trener uwzględnia najnowsze i najbardziej efektywne w roli negocjacyjnej osiągnięcia neurolingwistyki (wpływ słów, składni i stylistyki wypowiedzi na układ nerwowy odbiorcy), psychologii stosowanej i psychologii temperamentu. Trening jest uzupełniony wiedzą i licznymi ćwiczeniami z zakresu psychodiagnostyki tzn. umiejętności rozpoznawania u ludzi tych cech osobowości, które mają znaczenie dla wyboru optymalnych technik w dialogu. Tym samym trening jest dydaktycznie zaprojektowany jako poziom zaawansowany o bogatym repertuarze technik zawodowych.</w:t>
      </w:r>
    </w:p>
    <w:p>
      <w:pPr>
        <w:pStyle w:val="Tekstpodstawowy"/>
      </w:pPr>
      <w:r>
        <w:t xml:space="preserve">Powszechny dostęp do informacji i rosnące doświadczenie sprzedawców powoduje, iż negocjacje zakupowe są w tej chwili bardziej wymagającym procesem niż miało to miejsce jeszcze kilka lat temu. Jednym z kluczowych elementów niezbędnym do złamania schematu w jakim tkwią dzisiejsi „zakupowcy”, będzie analiza - “Do czego przyzwyczailiśmy aktualnych dostawców w zakresie negocjacji z naszą firmą”. Zweryfikujemy sposób aktualnie prowadzonych przez uczestników sposobów przygotowania i prowadzenia negocjacji. Świeże spojrzenie, pozwoli na znacznie bardziej strategiczne podejście do tego jaki sposób na negocjacje z naszą firmą przyjmuje Dostawca vs . jakie działania należy podjąć po stronie Zakupowca aby uzyskać więcej.</w:t>
      </w:r>
    </w:p>
    <w:p>
      <w:pPr>
        <w:pStyle w:val="Tekstpodstawowy"/>
      </w:pPr>
      <w:r>
        <w:t xml:space="preserve">Cele treningu jest wyposażenie Uczestników w umiejętności identyfikacji sygnałów zachowań taktycznych, manipulujących po stronie Dostawcy oraz zastosować odpowiednią kontrreakcję.</w:t>
      </w:r>
    </w:p>
    <w:p>
      <w:pPr>
        <w:pStyle w:val="Tekstpodstawowy"/>
      </w:pPr>
      <w:r>
        <w:t xml:space="preserve">Z drugiej strony, uczestnicy uzyskają wiedzę w zakresie sposobów kalkulacji rzeczywistych możliwości cenowych a co za tym idzie wielkości „bufora negocjacyjnego” z jakim mamy do czynienia. Poznają również nowoczesne techniki negocjacyjne, które są wdrażane w wielu firmach na całym świecie. Dzięki temu Uczestnicy będą mogli uzyskiwać większe ustępstwa podnosząc swoją skuteczność. Dodatkowo, posługując się miękkimi regułami wywierania wpływu uczestnicy szkolenia będą potrafili kształtować kontakty z Dostawcami w taki sposób aby osiągać swoje cele podtrzymując jednocześnie wysoki poziom relacji.</w:t>
      </w:r>
    </w:p>
    <w:p>
      <w:pPr>
        <w:pStyle w:val="Nagwek1"/>
      </w:pPr>
      <w:bookmarkStart w:id="26" w:name="korzyści-dla-uczestników"/>
      <w:r>
        <w:t xml:space="preserve">Korzyści dla uczestników</w:t>
      </w:r>
      <w:bookmarkEnd w:id="26"/>
    </w:p>
    <w:p>
      <w:pPr>
        <w:pStyle w:val="Compact"/>
        <w:numPr>
          <w:numId w:val="1003"/>
          <w:ilvl w:val="0"/>
        </w:numPr>
      </w:pPr>
      <w:r>
        <w:t xml:space="preserve">poznanie swoich własnych predyspozycji w 3 głównych obszarach kompetencji negocjacyjnych,</w:t>
      </w:r>
    </w:p>
    <w:p>
      <w:pPr>
        <w:pStyle w:val="Compact"/>
        <w:numPr>
          <w:numId w:val="1003"/>
          <w:ilvl w:val="0"/>
        </w:numPr>
      </w:pPr>
      <w:r>
        <w:t xml:space="preserve">uzyskanie dostępu do wiedzy wykorzystywanej przez negocjatorów kontraktowych,</w:t>
      </w:r>
    </w:p>
    <w:p>
      <w:pPr>
        <w:pStyle w:val="Compact"/>
        <w:numPr>
          <w:numId w:val="1003"/>
          <w:ilvl w:val="0"/>
        </w:numPr>
      </w:pPr>
      <w:r>
        <w:t xml:space="preserve">możliwość udziału w praktycznym treningu utrwalającym nowe metody pracy,</w:t>
      </w:r>
    </w:p>
    <w:p>
      <w:pPr>
        <w:pStyle w:val="Compact"/>
        <w:numPr>
          <w:numId w:val="1003"/>
          <w:ilvl w:val="0"/>
        </w:numPr>
      </w:pPr>
      <w:r>
        <w:t xml:space="preserve">znaczne podniesienie możliwości poprawy warunków zakupowych.</w:t>
      </w:r>
    </w:p>
    <w:p>
      <w:pPr>
        <w:pStyle w:val="Nagwek1"/>
      </w:pPr>
      <w:bookmarkStart w:id="27" w:name="metody-szkolenia"/>
      <w:r>
        <w:t xml:space="preserve">Metody szkolenia</w:t>
      </w:r>
      <w:bookmarkEnd w:id="27"/>
    </w:p>
    <w:p>
      <w:pPr>
        <w:pStyle w:val="Compact"/>
        <w:numPr>
          <w:numId w:val="1004"/>
          <w:ilvl w:val="0"/>
        </w:numPr>
      </w:pPr>
      <w:r>
        <w:t xml:space="preserve">symulacje negocjacyjne angażujące uczestników w prawdziwe Case Study (Studium przypadku) firm na rynku polskim,</w:t>
      </w:r>
    </w:p>
    <w:p>
      <w:pPr>
        <w:pStyle w:val="Compact"/>
        <w:numPr>
          <w:numId w:val="1004"/>
          <w:ilvl w:val="0"/>
        </w:numPr>
      </w:pPr>
      <w:r>
        <w:t xml:space="preserve">ćwiczenia analityczne z wykorzystaniem rzeczywistych danych,</w:t>
      </w:r>
    </w:p>
    <w:p>
      <w:pPr>
        <w:pStyle w:val="Compact"/>
        <w:numPr>
          <w:numId w:val="1004"/>
          <w:ilvl w:val="0"/>
        </w:numPr>
      </w:pPr>
      <w:r>
        <w:t xml:space="preserve">budowa scenariuszy faktycznych sytuacji negocjacyjnych z branż uczestników szkolenia,</w:t>
      </w:r>
    </w:p>
    <w:p>
      <w:pPr>
        <w:pStyle w:val="Compact"/>
        <w:numPr>
          <w:numId w:val="1004"/>
          <w:ilvl w:val="0"/>
        </w:numPr>
      </w:pPr>
      <w:r>
        <w:t xml:space="preserve">prezentacja zastrzeżonych Metod i Narzędzi Negocjacyjnych,</w:t>
      </w:r>
    </w:p>
    <w:p>
      <w:pPr>
        <w:pStyle w:val="Compact"/>
        <w:numPr>
          <w:numId w:val="1004"/>
          <w:ilvl w:val="0"/>
        </w:numPr>
      </w:pPr>
      <w:r>
        <w:t xml:space="preserve">wizualizacje rozwiązań oparte na metodyce Visual Thinking,</w:t>
      </w:r>
    </w:p>
    <w:p>
      <w:pPr>
        <w:pStyle w:val="Compact"/>
        <w:numPr>
          <w:numId w:val="1004"/>
          <w:ilvl w:val="0"/>
        </w:numPr>
      </w:pPr>
      <w:r>
        <w:t xml:space="preserve">weryfikacja stopnia utrwalenia poznanych metod i rozwiązań – (Quick Reaction Training).</w:t>
      </w:r>
    </w:p>
    <w:p>
      <w:pPr>
        <w:pStyle w:val="Nagwek1"/>
      </w:pPr>
      <w:bookmarkStart w:id="28" w:name="czas-trwania"/>
      <w:r>
        <w:t xml:space="preserve">Czas trwania</w:t>
      </w:r>
      <w:bookmarkEnd w:id="28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9" w:name="program-szkolenia"/>
      <w:r>
        <w:t xml:space="preserve">Program szkolenia</w:t>
      </w:r>
      <w:bookmarkEnd w:id="29"/>
    </w:p>
    <w:p>
      <w:pPr>
        <w:pStyle w:val="Compact"/>
        <w:numPr>
          <w:numId w:val="1005"/>
          <w:ilvl w:val="0"/>
        </w:numPr>
      </w:pPr>
      <w:r>
        <w:t xml:space="preserve">Scenariusze kształtowania relacji biznesowych ze względu na pozycję negocjacyjną:</w:t>
      </w:r>
    </w:p>
    <w:p>
      <w:pPr>
        <w:pStyle w:val="Compact"/>
        <w:numPr>
          <w:numId w:val="1006"/>
          <w:ilvl w:val="1"/>
        </w:numPr>
      </w:pPr>
      <w:r>
        <w:t xml:space="preserve">z monopolistą - „Dawid i Goliat”,</w:t>
      </w:r>
    </w:p>
    <w:p>
      <w:pPr>
        <w:pStyle w:val="Compact"/>
        <w:numPr>
          <w:numId w:val="1006"/>
          <w:ilvl w:val="1"/>
        </w:numPr>
      </w:pPr>
      <w:r>
        <w:t xml:space="preserve">z równorzędnym partnerem - „Przeciąganie liny”,</w:t>
      </w:r>
    </w:p>
    <w:p>
      <w:pPr>
        <w:pStyle w:val="Compact"/>
        <w:numPr>
          <w:numId w:val="1006"/>
          <w:ilvl w:val="1"/>
        </w:numPr>
      </w:pPr>
      <w:r>
        <w:t xml:space="preserve">ze słabszym partnerem - „Cytryna”.</w:t>
      </w:r>
    </w:p>
    <w:p>
      <w:pPr>
        <w:pStyle w:val="Compact"/>
        <w:numPr>
          <w:numId w:val="1005"/>
          <w:ilvl w:val="0"/>
        </w:numPr>
      </w:pPr>
      <w:r>
        <w:t xml:space="preserve">Weryfikacja rzeczywistych możliwości cenowych przy negocjacjach zakupowych:</w:t>
      </w:r>
    </w:p>
    <w:p>
      <w:pPr>
        <w:pStyle w:val="Compact"/>
        <w:numPr>
          <w:numId w:val="1007"/>
          <w:ilvl w:val="1"/>
        </w:numPr>
      </w:pPr>
      <w:r>
        <w:t xml:space="preserve">analiza oferty przy zastosowaniu Cost Model oraz VCA,</w:t>
      </w:r>
    </w:p>
    <w:p>
      <w:pPr>
        <w:pStyle w:val="Compact"/>
        <w:numPr>
          <w:numId w:val="1007"/>
          <w:ilvl w:val="1"/>
        </w:numPr>
      </w:pPr>
      <w:r>
        <w:t xml:space="preserve">narzędzia analityczne umożliwiające drążenie „dna negocjacyjnego”,</w:t>
      </w:r>
    </w:p>
    <w:p>
      <w:pPr>
        <w:pStyle w:val="Compact"/>
        <w:numPr>
          <w:numId w:val="1007"/>
          <w:ilvl w:val="1"/>
        </w:numPr>
      </w:pPr>
      <w:r>
        <w:t xml:space="preserve">“sztuczki” sprzedażowe Dostawców jako okazja do uzyskania przewagi taktycznej.</w:t>
      </w:r>
    </w:p>
    <w:p>
      <w:pPr>
        <w:pStyle w:val="Compact"/>
        <w:numPr>
          <w:numId w:val="1005"/>
          <w:ilvl w:val="0"/>
        </w:numPr>
      </w:pPr>
      <w:r>
        <w:t xml:space="preserve">Najczęstsze błędy popełniane przez Kupców podczas:</w:t>
      </w:r>
    </w:p>
    <w:p>
      <w:pPr>
        <w:pStyle w:val="Compact"/>
        <w:numPr>
          <w:numId w:val="1008"/>
          <w:ilvl w:val="1"/>
        </w:numPr>
      </w:pPr>
      <w:r>
        <w:t xml:space="preserve">negocjacji kontraktowych - materiały i środki produkcji,</w:t>
      </w:r>
    </w:p>
    <w:p>
      <w:pPr>
        <w:pStyle w:val="Compact"/>
        <w:numPr>
          <w:numId w:val="1008"/>
          <w:ilvl w:val="1"/>
        </w:numPr>
      </w:pPr>
      <w:r>
        <w:t xml:space="preserve">negocjacji jednorazowych - środki trwałe,</w:t>
      </w:r>
    </w:p>
    <w:p>
      <w:pPr>
        <w:pStyle w:val="Compact"/>
        <w:numPr>
          <w:numId w:val="1008"/>
          <w:ilvl w:val="1"/>
        </w:numPr>
      </w:pPr>
      <w:r>
        <w:t xml:space="preserve">konieczności renegocjacji ustalonych wcześniej warunków</w:t>
      </w:r>
    </w:p>
    <w:p>
      <w:pPr>
        <w:pStyle w:val="Compact"/>
        <w:numPr>
          <w:numId w:val="1005"/>
          <w:ilvl w:val="0"/>
        </w:numPr>
      </w:pPr>
      <w:r>
        <w:t xml:space="preserve">Planowanie sekwencji negocjacji w zależności od uzyskiwanych efektów:</w:t>
      </w:r>
    </w:p>
    <w:p>
      <w:pPr>
        <w:pStyle w:val="Compact"/>
        <w:numPr>
          <w:numId w:val="1009"/>
          <w:ilvl w:val="1"/>
        </w:numPr>
      </w:pPr>
      <w:r>
        <w:t xml:space="preserve">scenariusz wariantowy Fisher’a i Ury’ego - obniżanie poczucia siły przetargowej Dostawcy,</w:t>
      </w:r>
    </w:p>
    <w:p>
      <w:pPr>
        <w:pStyle w:val="Compact"/>
        <w:numPr>
          <w:numId w:val="1009"/>
          <w:ilvl w:val="1"/>
        </w:numPr>
      </w:pPr>
      <w:r>
        <w:t xml:space="preserve">zasady konstruowania propozycji wiązanych,</w:t>
      </w:r>
    </w:p>
    <w:p>
      <w:pPr>
        <w:pStyle w:val="Compact"/>
        <w:numPr>
          <w:numId w:val="1009"/>
          <w:ilvl w:val="1"/>
        </w:numPr>
      </w:pPr>
      <w:r>
        <w:t xml:space="preserve">metoda Matrycy Szachowej,</w:t>
      </w:r>
    </w:p>
    <w:p>
      <w:pPr>
        <w:pStyle w:val="Compact"/>
        <w:numPr>
          <w:numId w:val="1009"/>
          <w:ilvl w:val="1"/>
        </w:numPr>
      </w:pPr>
      <w:r>
        <w:t xml:space="preserve">zmiana strategii podczas negocjacji umożliwiająca porozumienie.</w:t>
      </w:r>
    </w:p>
    <w:p>
      <w:pPr>
        <w:pStyle w:val="Compact"/>
        <w:numPr>
          <w:numId w:val="1005"/>
          <w:ilvl w:val="0"/>
        </w:numPr>
      </w:pPr>
      <w:r>
        <w:t xml:space="preserve">Sposoby obrony na oddziaływanie emocjonalne Dostawców na Kupca:</w:t>
      </w:r>
    </w:p>
    <w:p>
      <w:pPr>
        <w:pStyle w:val="Compact"/>
        <w:numPr>
          <w:numId w:val="1010"/>
          <w:ilvl w:val="1"/>
        </w:numPr>
      </w:pPr>
      <w:r>
        <w:t xml:space="preserve">“Dobry Kumpel” – w rzeczywistości : pozorne partnerstwo,</w:t>
      </w:r>
    </w:p>
    <w:p>
      <w:pPr>
        <w:pStyle w:val="Compact"/>
        <w:numPr>
          <w:numId w:val="1010"/>
          <w:ilvl w:val="1"/>
        </w:numPr>
      </w:pPr>
      <w:r>
        <w:t xml:space="preserve">“Uniżony sługa” - w rzeczywistości : zmiękczanie poprzez wzbudzanie litości,</w:t>
      </w:r>
    </w:p>
    <w:p>
      <w:pPr>
        <w:pStyle w:val="Compact"/>
        <w:numPr>
          <w:numId w:val="1010"/>
          <w:ilvl w:val="1"/>
        </w:numPr>
      </w:pPr>
      <w:r>
        <w:t xml:space="preserve">“Chłodny analityk” - w rzeczywistości : selektywne manipulowanie informacjami i danymi we własnym interesie.</w:t>
      </w:r>
    </w:p>
    <w:p>
      <w:pPr>
        <w:pStyle w:val="Compact"/>
        <w:numPr>
          <w:numId w:val="1005"/>
          <w:ilvl w:val="0"/>
        </w:numPr>
      </w:pPr>
      <w:r>
        <w:t xml:space="preserve">Techniki reagowania w trudnych sytuacjach:</w:t>
      </w:r>
    </w:p>
    <w:p>
      <w:pPr>
        <w:pStyle w:val="Compact"/>
        <w:numPr>
          <w:numId w:val="1011"/>
          <w:ilvl w:val="1"/>
        </w:numPr>
      </w:pPr>
      <w:r>
        <w:t xml:space="preserve">nowe fakty/informacje ze strony dostawcy - np. konieczność wprowadzenia podwyżki,</w:t>
      </w:r>
    </w:p>
    <w:p>
      <w:pPr>
        <w:pStyle w:val="Compact"/>
        <w:numPr>
          <w:numId w:val="1011"/>
          <w:ilvl w:val="1"/>
        </w:numPr>
      </w:pPr>
      <w:r>
        <w:t xml:space="preserve">propozycje „wiązane” utrudniające rzeczywistą kalkulację ceny zakupu,</w:t>
      </w:r>
    </w:p>
    <w:p>
      <w:pPr>
        <w:pStyle w:val="Compact"/>
        <w:numPr>
          <w:numId w:val="1011"/>
          <w:ilvl w:val="1"/>
        </w:numPr>
      </w:pPr>
      <w:r>
        <w:t xml:space="preserve">przedłużający się impas - demonstracja postawy Dostawcy “nie muszę, nie zależy mi”.</w:t>
      </w:r>
    </w:p>
    <w:p>
      <w:pPr>
        <w:pStyle w:val="Nagwek1"/>
      </w:pPr>
      <w:bookmarkStart w:id="30" w:name="harmonogram"/>
      <w:r>
        <w:t xml:space="preserve">Harmonogram</w:t>
      </w:r>
      <w:bookmarkEnd w:id="30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31" w:name="koszt-inwestycji"/>
      <w:r>
        <w:t xml:space="preserve">Koszt inwestycji</w:t>
      </w:r>
      <w:bookmarkEnd w:id="31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2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2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2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3" w:name="informacje-dodatkowe"/>
      <w:r>
        <w:t xml:space="preserve">Informacje dodatkowe</w:t>
      </w:r>
      <w:bookmarkEnd w:id="33"/>
    </w:p>
    <w:p>
      <w:pPr>
        <w:pStyle w:val="FirstParagraph"/>
      </w:pPr>
      <w:r>
        <w:t xml:space="preserve">Szkolenie wchodzi w skład następujących modułów. Istnieje możliwość zgłaszania uczestnictwa na każdy z poniższych wariantów:</w:t>
      </w:r>
    </w:p>
    <w:p>
      <w:pPr>
        <w:pStyle w:val="Compact"/>
        <w:numPr>
          <w:numId w:val="1013"/>
          <w:ilvl w:val="0"/>
        </w:numPr>
      </w:pPr>
      <w:hyperlink r:id="rId34">
        <w:r>
          <w:rPr>
            <w:rStyle w:val="Hipercze"/>
            <w:b/>
          </w:rPr>
          <w:t xml:space="preserve">Negocjacje zakupowe, umowy handlowe i zarządzanie dostawcami</w:t>
        </w:r>
      </w:hyperlink>
      <w:r>
        <w:rPr>
          <w:b/>
        </w:rPr>
        <w:t xml:space="preserve"> </w:t>
      </w:r>
      <w:r>
        <w:t xml:space="preserve">- 4 dni</w:t>
      </w:r>
    </w:p>
    <w:p>
      <w:pPr>
        <w:pStyle w:val="Compact"/>
        <w:numPr>
          <w:numId w:val="1013"/>
          <w:ilvl w:val="0"/>
        </w:numPr>
      </w:pPr>
      <w:hyperlink r:id="rId35">
        <w:r>
          <w:rPr>
            <w:rStyle w:val="Hipercze"/>
            <w:b/>
          </w:rPr>
          <w:t xml:space="preserve">Negocjacje zakupowe i umowy handlowe</w:t>
        </w:r>
      </w:hyperlink>
      <w:r>
        <w:rPr>
          <w:b/>
        </w:rPr>
        <w:t xml:space="preserve"> </w:t>
      </w:r>
      <w:r>
        <w:t xml:space="preserve">- 3 dni</w:t>
      </w:r>
    </w:p>
    <w:p>
      <w:pPr>
        <w:pStyle w:val="Compact"/>
        <w:numPr>
          <w:numId w:val="1013"/>
          <w:ilvl w:val="0"/>
        </w:numPr>
      </w:pPr>
      <w:hyperlink r:id="rId36">
        <w:r>
          <w:rPr>
            <w:rStyle w:val="Hipercze"/>
            <w:b/>
          </w:rPr>
          <w:t xml:space="preserve">Negocjacje zakupowe i zarządzanie dostawcami</w:t>
        </w:r>
      </w:hyperlink>
      <w:r>
        <w:rPr>
          <w:b/>
        </w:rPr>
        <w:t xml:space="preserve"> </w:t>
      </w:r>
      <w:r>
        <w:t xml:space="preserve">- 3 dni</w:t>
      </w:r>
    </w:p>
    <w:p>
      <w:pPr>
        <w:pStyle w:val="Compact"/>
        <w:numPr>
          <w:numId w:val="1013"/>
          <w:ilvl w:val="0"/>
        </w:numPr>
      </w:pPr>
      <w:hyperlink r:id="rId37">
        <w:r>
          <w:rPr>
            <w:rStyle w:val="Hipercze"/>
            <w:b/>
          </w:rPr>
          <w:t xml:space="preserve">Umowy handlowe z pozycji zakupowej</w:t>
        </w:r>
      </w:hyperlink>
      <w:r>
        <w:rPr>
          <w:b/>
        </w:rPr>
        <w:t xml:space="preserve"> </w:t>
      </w:r>
      <w:r>
        <w:t xml:space="preserve">- 1 dzień</w:t>
      </w:r>
    </w:p>
    <w:p>
      <w:pPr>
        <w:pStyle w:val="Compact"/>
        <w:numPr>
          <w:numId w:val="1013"/>
          <w:ilvl w:val="0"/>
        </w:numPr>
      </w:pPr>
      <w:hyperlink r:id="rId38">
        <w:r>
          <w:rPr>
            <w:rStyle w:val="Hipercze"/>
            <w:b/>
          </w:rPr>
          <w:t xml:space="preserve">Metody wyboru i oceny dostawców</w:t>
        </w:r>
      </w:hyperlink>
      <w:r>
        <w:rPr>
          <w:b/>
        </w:rPr>
        <w:t xml:space="preserve"> </w:t>
      </w:r>
      <w:r>
        <w:t xml:space="preserve">- 1 dzień</w:t>
      </w:r>
    </w:p>
    <w:p>
      <w:pPr>
        <w:pStyle w:val="Nagwek1"/>
      </w:pPr>
      <w:bookmarkStart w:id="39" w:name="kontakt"/>
      <w:r>
        <w:t xml:space="preserve">Kontakt</w:t>
      </w:r>
      <w:bookmarkEnd w:id="39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40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63209d7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5e7e78a8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237180c5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8" Target="//progressproject.pl/szkolenia/metody_wyboru_i_oceny_dostawcow" TargetMode="External" /><Relationship Type="http://schemas.openxmlformats.org/officeDocument/2006/relationships/hyperlink" Id="rId35" Target="//progressproject.pl/szkolenia/negocjacje_zakupowe_i_umowy_handlowe" TargetMode="External" /><Relationship Type="http://schemas.openxmlformats.org/officeDocument/2006/relationships/hyperlink" Id="rId36" Target="//progressproject.pl/szkolenia/negocjacje_zakupowe_i_zarzadzanie_dostawcami" TargetMode="External" /><Relationship Type="http://schemas.openxmlformats.org/officeDocument/2006/relationships/hyperlink" Id="rId34" Target="//progressproject.pl/szkolenia/negocjacje_zakupowe_umowy_handlowe_i_zarzadzanie_dostawcami" TargetMode="External" /><Relationship Type="http://schemas.openxmlformats.org/officeDocument/2006/relationships/hyperlink" Id="rId37" Target="//progressproject.pl/szkolenia/umowy_handlowe_z_pozycji_zakupowej" TargetMode="External" /><Relationship Type="http://schemas.openxmlformats.org/officeDocument/2006/relationships/hyperlink" Id="rId40" Target="/cdn-cgi/l/email-protection" TargetMode="External" /><Relationship Type="http://schemas.openxmlformats.org/officeDocument/2006/relationships/hyperlink" Id="rId32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8" Target="//progressproject.pl/szkolenia/metody_wyboru_i_oceny_dostawcow" TargetMode="External" /><Relationship Type="http://schemas.openxmlformats.org/officeDocument/2006/relationships/hyperlink" Id="rId35" Target="//progressproject.pl/szkolenia/negocjacje_zakupowe_i_umowy_handlowe" TargetMode="External" /><Relationship Type="http://schemas.openxmlformats.org/officeDocument/2006/relationships/hyperlink" Id="rId36" Target="//progressproject.pl/szkolenia/negocjacje_zakupowe_i_zarzadzanie_dostawcami" TargetMode="External" /><Relationship Type="http://schemas.openxmlformats.org/officeDocument/2006/relationships/hyperlink" Id="rId34" Target="//progressproject.pl/szkolenia/negocjacje_zakupowe_umowy_handlowe_i_zarzadzanie_dostawcami" TargetMode="External" /><Relationship Type="http://schemas.openxmlformats.org/officeDocument/2006/relationships/hyperlink" Id="rId37" Target="//progressproject.pl/szkolenia/umowy_handlowe_z_pozycji_zakupowej" TargetMode="External" /><Relationship Type="http://schemas.openxmlformats.org/officeDocument/2006/relationships/hyperlink" Id="rId40" Target="/cdn-cgi/l/email-protection" TargetMode="External" /><Relationship Type="http://schemas.openxmlformats.org/officeDocument/2006/relationships/hyperlink" Id="rId32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Negocjacje zakupowe</dc:title>
  <dc:creator/>
  <cp:keywords/>
  <dcterms:created xsi:type="dcterms:W3CDTF">2024-02-08T07:04:42Z</dcterms:created>
  <dcterms:modified xsi:type="dcterms:W3CDTF">2024-02-08T07:04:42Z</dcterms:modified>
</cp:coreProperties>
</file>