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ADR</w:t>
      </w:r>
      <w:r>
        <w:t xml:space="preserve"> </w:t>
      </w:r>
      <w:r>
        <w:t xml:space="preserve">–</w:t>
      </w:r>
      <w:r>
        <w:t xml:space="preserve"> </w:t>
      </w:r>
      <w:r>
        <w:t xml:space="preserve">Transport,</w:t>
      </w:r>
      <w:r>
        <w:t xml:space="preserve"> </w:t>
      </w:r>
      <w:r>
        <w:t xml:space="preserve">składowanie</w:t>
      </w:r>
      <w:r>
        <w:t xml:space="preserve"> </w:t>
      </w:r>
      <w:r>
        <w:t xml:space="preserve">i</w:t>
      </w:r>
      <w:r>
        <w:t xml:space="preserve"> </w:t>
      </w:r>
      <w:r>
        <w:t xml:space="preserve">oznakowanie</w:t>
      </w:r>
      <w:r>
        <w:t xml:space="preserve"> </w:t>
      </w:r>
      <w:r>
        <w:t xml:space="preserve">materiałów</w:t>
      </w:r>
      <w:r>
        <w:t xml:space="preserve"> </w:t>
      </w:r>
      <w:r>
        <w:t xml:space="preserve">niebezpiecznych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17 grudnia 2020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W logistyce można mieć do czynienia z silnie rozbudowanymi gałęziami każdego elementu łańcucha dostaw, który zapewnia kompleksowe działanie tylko dzięki aktualizowaniu i poszerzaniu swoich kwalifikacji zawodowych. </w:t>
      </w:r>
      <w:r>
        <w:br w:type="textWrapping"/>
      </w:r>
      <w:r>
        <w:t xml:space="preserve">W trybie zdobywania fachowej wiedzy, istotne jest uczęszczanie na przygotowane w danej tematyce szkolenia, np. szkolenie ADR - Transport, składowanie i oznakowanie materiałów niebezpiecznych, może stanowić cenny instruktaż dla wszystkich pracowników z dziedziny logistyki.</w:t>
      </w:r>
    </w:p>
    <w:p>
      <w:pPr>
        <w:pStyle w:val="Tekstpodstawowy"/>
      </w:pPr>
      <w:r>
        <w:t xml:space="preserve">Zapoznanie z aktualnymi i zmieniającymi się przepisami i zasadami klasyfikowania, pakowania, oznaczania, magazynowania, ładowania i rozładowywania oraz przewozu materiałów niebezpiecznych z uwzględnieniem specyfiki transportu drogowego, kolejowego, morskiego i lotniczego.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nabycie wiedzy o przepisach i zasadach postępowania, właściwych dla różnych form transportu towarów niebezpiecznych,</w:t>
      </w:r>
    </w:p>
    <w:p>
      <w:pPr>
        <w:pStyle w:val="Compact"/>
        <w:numPr>
          <w:numId w:val="1003"/>
          <w:ilvl w:val="0"/>
        </w:numPr>
      </w:pPr>
      <w:r>
        <w:t xml:space="preserve">nabycie umiejętności i pewności w praktycznym stosowaniu przepisów prawa,</w:t>
      </w:r>
    </w:p>
    <w:p>
      <w:pPr>
        <w:pStyle w:val="Compact"/>
        <w:numPr>
          <w:numId w:val="1003"/>
          <w:ilvl w:val="0"/>
        </w:numPr>
      </w:pPr>
      <w:r>
        <w:t xml:space="preserve">zdobycie możliwość zastosowania w praktyce zdobytej wiedzy i unikanie w ten sposób sankcji nakładanych ze strony organów kontrolnych,</w:t>
      </w:r>
    </w:p>
    <w:p>
      <w:pPr>
        <w:pStyle w:val="Compact"/>
        <w:numPr>
          <w:numId w:val="1003"/>
          <w:ilvl w:val="0"/>
        </w:numPr>
      </w:pPr>
      <w:r>
        <w:t xml:space="preserve">możliwość wymiany doświadczeń i opinii z praktykami z różnych obszarów działalności,</w:t>
      </w:r>
    </w:p>
    <w:p>
      <w:pPr>
        <w:pStyle w:val="Compact"/>
        <w:numPr>
          <w:numId w:val="1003"/>
          <w:ilvl w:val="0"/>
        </w:numPr>
      </w:pPr>
      <w:r>
        <w:t xml:space="preserve">zdobycie możliwości nawiązania ciekawych, profesjonalnych kontaktów.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Compact"/>
        <w:numPr>
          <w:numId w:val="1004"/>
          <w:ilvl w:val="0"/>
        </w:numPr>
      </w:pPr>
      <w:r>
        <w:t xml:space="preserve">zapoznanie z przepisami i zasadami postępowania z towarami niebezpiecznymi w transporcie i magazynowaniu,</w:t>
      </w:r>
    </w:p>
    <w:p>
      <w:pPr>
        <w:pStyle w:val="Compact"/>
        <w:numPr>
          <w:numId w:val="1004"/>
          <w:ilvl w:val="0"/>
        </w:numPr>
      </w:pPr>
      <w:r>
        <w:t xml:space="preserve">na wstępie zajęć prowadzący zapoznaje się ze specyfiką pracy uczestników szkolenia i na podstawie tych informacji dokonuje weryfikacji prezentowanych zagadnień skupiając się na najistotniejszych dla usprawnienia procesów logistycznych na ich stanowiskach, dostosowując tępo zajęć do możliwości szkolonych,</w:t>
      </w:r>
    </w:p>
    <w:p>
      <w:pPr>
        <w:pStyle w:val="Compact"/>
        <w:numPr>
          <w:numId w:val="1004"/>
          <w:ilvl w:val="0"/>
        </w:numPr>
      </w:pPr>
      <w:r>
        <w:t xml:space="preserve">szkolenie prowadzone jest w oparciu o wykłady w formie prezentacji multimedialnych, indywidualne ćwiczenia praktyczne i warsztaty,</w:t>
      </w:r>
    </w:p>
    <w:p>
      <w:pPr>
        <w:pStyle w:val="Compact"/>
        <w:numPr>
          <w:numId w:val="1004"/>
          <w:ilvl w:val="0"/>
        </w:numPr>
      </w:pPr>
      <w:r>
        <w:t xml:space="preserve">uczestnicy pod nadzorem prowadzącego praktycznie rozwiązują symulowane sytuacje w oparciu o autentyczne zdarzenia transportowe z Polski i wielu innych krajów,</w:t>
      </w:r>
    </w:p>
    <w:p>
      <w:pPr>
        <w:pStyle w:val="Compact"/>
        <w:numPr>
          <w:numId w:val="1004"/>
          <w:ilvl w:val="0"/>
        </w:numPr>
      </w:pPr>
      <w:r>
        <w:t xml:space="preserve">prowadzący na podstawie przytaczanych przez szkolonych jak i własnych przykładów dokonuje analizy podjętych decyzji i ich zgodności z obowiązującymi przepisami oraz wspólnie korygowane są ewentualnie popełnione błędy.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8 godzin dydaktycznych - 1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Compact"/>
        <w:numPr>
          <w:numId w:val="1005"/>
          <w:ilvl w:val="0"/>
        </w:numPr>
      </w:pPr>
      <w:r>
        <w:t xml:space="preserve">Wprowadzenie :</w:t>
      </w:r>
    </w:p>
    <w:p>
      <w:pPr>
        <w:pStyle w:val="Compact"/>
        <w:numPr>
          <w:numId w:val="1006"/>
          <w:ilvl w:val="1"/>
        </w:numPr>
      </w:pPr>
      <w:r>
        <w:t xml:space="preserve">przepisy międzynarodowe i krajowe regulujące postępowania z materiałami niebezpiecznymi i praktyczny zakres ich stosowania,</w:t>
      </w:r>
    </w:p>
    <w:p>
      <w:pPr>
        <w:pStyle w:val="Compact"/>
        <w:numPr>
          <w:numId w:val="1006"/>
          <w:ilvl w:val="1"/>
        </w:numPr>
      </w:pPr>
      <w:r>
        <w:t xml:space="preserve">aktualne zmiany w umowie ADR 2019-21 i krajowych przepisach transportowych,</w:t>
      </w:r>
    </w:p>
    <w:p>
      <w:pPr>
        <w:pStyle w:val="Compact"/>
        <w:numPr>
          <w:numId w:val="1006"/>
          <w:ilvl w:val="1"/>
        </w:numPr>
      </w:pPr>
      <w:r>
        <w:t xml:space="preserve">różnice stosowanych przepisów w transporcie drogowym, morskim, lotniczym i kolejowym,</w:t>
      </w:r>
    </w:p>
    <w:p>
      <w:pPr>
        <w:pStyle w:val="Compact"/>
        <w:numPr>
          <w:numId w:val="1006"/>
          <w:ilvl w:val="1"/>
        </w:numPr>
      </w:pPr>
      <w:r>
        <w:t xml:space="preserve">podstawowe definicje w transporcie towarów niebezpiecznych,</w:t>
      </w:r>
    </w:p>
    <w:p>
      <w:pPr>
        <w:pStyle w:val="Compact"/>
        <w:numPr>
          <w:numId w:val="1006"/>
          <w:ilvl w:val="1"/>
        </w:numPr>
      </w:pPr>
      <w:r>
        <w:t xml:space="preserve">klasyfikacja towarów niebezpiecznych,</w:t>
      </w:r>
    </w:p>
    <w:p>
      <w:pPr>
        <w:pStyle w:val="Compact"/>
        <w:numPr>
          <w:numId w:val="1006"/>
          <w:ilvl w:val="1"/>
        </w:numPr>
      </w:pPr>
      <w:r>
        <w:t xml:space="preserve">praktyczne zastosowanie karty charakterystyki preparatu - jakie zawiera informacje.</w:t>
      </w:r>
    </w:p>
    <w:p>
      <w:pPr>
        <w:pStyle w:val="Compact"/>
        <w:numPr>
          <w:numId w:val="1005"/>
          <w:ilvl w:val="0"/>
        </w:numPr>
      </w:pPr>
      <w:r>
        <w:t xml:space="preserve">Drogowy przewóz materiałów niebezpiecznych ADR- praktyka stosowania norm i przepisów:</w:t>
      </w:r>
    </w:p>
    <w:p>
      <w:pPr>
        <w:pStyle w:val="Compact"/>
        <w:numPr>
          <w:numId w:val="1007"/>
          <w:ilvl w:val="1"/>
        </w:numPr>
      </w:pPr>
      <w:r>
        <w:t xml:space="preserve">pojęcia podstawowe,</w:t>
      </w:r>
    </w:p>
    <w:p>
      <w:pPr>
        <w:pStyle w:val="Compact"/>
        <w:numPr>
          <w:numId w:val="1007"/>
          <w:ilvl w:val="1"/>
        </w:numPr>
      </w:pPr>
      <w:r>
        <w:t xml:space="preserve">cel i zakres regulacji prawnych,</w:t>
      </w:r>
    </w:p>
    <w:p>
      <w:pPr>
        <w:pStyle w:val="Compact"/>
        <w:numPr>
          <w:numId w:val="1007"/>
          <w:ilvl w:val="1"/>
        </w:numPr>
      </w:pPr>
      <w:r>
        <w:t xml:space="preserve">zasady stosowania wyłączeń całkowitych i częściowych,</w:t>
      </w:r>
    </w:p>
    <w:p>
      <w:pPr>
        <w:pStyle w:val="Compact"/>
        <w:numPr>
          <w:numId w:val="1007"/>
          <w:ilvl w:val="1"/>
        </w:numPr>
      </w:pPr>
      <w:r>
        <w:t xml:space="preserve">obowiązki i odpowiedzialność uczestników przewozu,</w:t>
      </w:r>
    </w:p>
    <w:p>
      <w:pPr>
        <w:pStyle w:val="Compact"/>
        <w:numPr>
          <w:numId w:val="1007"/>
          <w:ilvl w:val="1"/>
        </w:numPr>
      </w:pPr>
      <w:r>
        <w:t xml:space="preserve">jak przygotować materiał niebezpieczny i opakowanie do transportu i przechowywania,</w:t>
      </w:r>
    </w:p>
    <w:p>
      <w:pPr>
        <w:pStyle w:val="Compact"/>
        <w:numPr>
          <w:numId w:val="1007"/>
          <w:ilvl w:val="1"/>
        </w:numPr>
      </w:pPr>
      <w:r>
        <w:t xml:space="preserve">dopuszczone sposoby przewozu towarów niebezpiecznych,</w:t>
      </w:r>
    </w:p>
    <w:p>
      <w:pPr>
        <w:pStyle w:val="Compact"/>
        <w:numPr>
          <w:numId w:val="1007"/>
          <w:ilvl w:val="1"/>
        </w:numPr>
      </w:pPr>
      <w:r>
        <w:t xml:space="preserve">limity i ograniczenia przewozowe,</w:t>
      </w:r>
    </w:p>
    <w:p>
      <w:pPr>
        <w:pStyle w:val="Compact"/>
        <w:numPr>
          <w:numId w:val="1007"/>
          <w:ilvl w:val="1"/>
        </w:numPr>
      </w:pPr>
      <w:r>
        <w:t xml:space="preserve">ochrona materiałów niebezpiecznych w tym materiałów dużego ryzyka,</w:t>
      </w:r>
    </w:p>
    <w:p>
      <w:pPr>
        <w:pStyle w:val="Compact"/>
        <w:numPr>
          <w:numId w:val="1007"/>
          <w:ilvl w:val="1"/>
        </w:numPr>
      </w:pPr>
      <w:r>
        <w:t xml:space="preserve">najczęstsze błędy popełniane przez nadawców i przewoźników,</w:t>
      </w:r>
    </w:p>
    <w:p>
      <w:pPr>
        <w:pStyle w:val="Compact"/>
        <w:numPr>
          <w:numId w:val="1007"/>
          <w:ilvl w:val="1"/>
        </w:numPr>
      </w:pPr>
      <w:r>
        <w:t xml:space="preserve">kontrola i odpowiedzialność karno - administracyjna za stwierdzone nieprawidłowości.</w:t>
      </w:r>
    </w:p>
    <w:p>
      <w:pPr>
        <w:pStyle w:val="Compact"/>
        <w:numPr>
          <w:numId w:val="1005"/>
          <w:ilvl w:val="0"/>
        </w:numPr>
      </w:pPr>
      <w:r>
        <w:t xml:space="preserve">Dokumentacja przewozowa - praktyczne zasady poprawnego przygotowania dokumentów:</w:t>
      </w:r>
    </w:p>
    <w:p>
      <w:pPr>
        <w:pStyle w:val="Compact"/>
        <w:numPr>
          <w:numId w:val="1008"/>
          <w:ilvl w:val="1"/>
        </w:numPr>
      </w:pPr>
      <w:r>
        <w:t xml:space="preserve">dokument przewozowy,</w:t>
      </w:r>
    </w:p>
    <w:p>
      <w:pPr>
        <w:pStyle w:val="Compact"/>
        <w:numPr>
          <w:numId w:val="1008"/>
          <w:ilvl w:val="1"/>
        </w:numPr>
      </w:pPr>
      <w:r>
        <w:t xml:space="preserve">instrukcja pisemna dla kierowcy,</w:t>
      </w:r>
    </w:p>
    <w:p>
      <w:pPr>
        <w:pStyle w:val="Compact"/>
        <w:numPr>
          <w:numId w:val="1008"/>
          <w:ilvl w:val="1"/>
        </w:numPr>
      </w:pPr>
      <w:r>
        <w:t xml:space="preserve">dokumenty kierowcy,</w:t>
      </w:r>
    </w:p>
    <w:p>
      <w:pPr>
        <w:pStyle w:val="Compact"/>
        <w:numPr>
          <w:numId w:val="1008"/>
          <w:ilvl w:val="1"/>
        </w:numPr>
      </w:pPr>
      <w:r>
        <w:t xml:space="preserve">dokumenty pojazdu,</w:t>
      </w:r>
    </w:p>
    <w:p>
      <w:pPr>
        <w:pStyle w:val="Compact"/>
        <w:numPr>
          <w:numId w:val="1008"/>
          <w:ilvl w:val="1"/>
        </w:numPr>
      </w:pPr>
      <w:r>
        <w:t xml:space="preserve">dokumenty wymagane w transporcie międzynarodowym i multimedialnym.</w:t>
      </w:r>
    </w:p>
    <w:p>
      <w:pPr>
        <w:pStyle w:val="Compact"/>
        <w:numPr>
          <w:numId w:val="1005"/>
          <w:ilvl w:val="0"/>
        </w:numPr>
      </w:pPr>
      <w:r>
        <w:t xml:space="preserve">Obowiązki w zakresie stosowania opakowań i ich oznaczenia:</w:t>
      </w:r>
    </w:p>
    <w:p>
      <w:pPr>
        <w:pStyle w:val="Compact"/>
        <w:numPr>
          <w:numId w:val="1009"/>
          <w:ilvl w:val="1"/>
        </w:numPr>
      </w:pPr>
      <w:r>
        <w:t xml:space="preserve">rodzaje opakowań,</w:t>
      </w:r>
    </w:p>
    <w:p>
      <w:pPr>
        <w:pStyle w:val="Compact"/>
        <w:numPr>
          <w:numId w:val="1009"/>
          <w:ilvl w:val="1"/>
        </w:numPr>
      </w:pPr>
      <w:r>
        <w:t xml:space="preserve">stosowanie opakowań w tym opakowań kombinowanych i złożonych,</w:t>
      </w:r>
    </w:p>
    <w:p>
      <w:pPr>
        <w:pStyle w:val="Compact"/>
        <w:numPr>
          <w:numId w:val="1009"/>
          <w:ilvl w:val="1"/>
        </w:numPr>
      </w:pPr>
      <w:r>
        <w:t xml:space="preserve">zasady pakowania i ładowania,</w:t>
      </w:r>
    </w:p>
    <w:p>
      <w:pPr>
        <w:pStyle w:val="Compact"/>
        <w:numPr>
          <w:numId w:val="1009"/>
          <w:ilvl w:val="1"/>
        </w:numPr>
      </w:pPr>
      <w:r>
        <w:t xml:space="preserve">oznakowanie opakowań z materiałami niebezpiecznymi,</w:t>
      </w:r>
    </w:p>
    <w:p>
      <w:pPr>
        <w:pStyle w:val="Compact"/>
        <w:numPr>
          <w:numId w:val="1009"/>
          <w:ilvl w:val="1"/>
        </w:numPr>
      </w:pPr>
      <w:r>
        <w:t xml:space="preserve">wymagane oznaczenie sztuk przesyłki i opakowań zbiorczych,</w:t>
      </w:r>
    </w:p>
    <w:p>
      <w:pPr>
        <w:pStyle w:val="Compact"/>
        <w:numPr>
          <w:numId w:val="1009"/>
          <w:ilvl w:val="1"/>
        </w:numPr>
      </w:pPr>
      <w:r>
        <w:t xml:space="preserve">kalkulacja ilości przewożonego towaru,</w:t>
      </w:r>
    </w:p>
    <w:p>
      <w:pPr>
        <w:pStyle w:val="Compact"/>
        <w:numPr>
          <w:numId w:val="1009"/>
          <w:ilvl w:val="1"/>
        </w:numPr>
      </w:pPr>
      <w:r>
        <w:t xml:space="preserve">zakazy ładowania razem,</w:t>
      </w:r>
    </w:p>
    <w:p>
      <w:pPr>
        <w:pStyle w:val="Compact"/>
        <w:numPr>
          <w:numId w:val="1009"/>
          <w:ilvl w:val="1"/>
        </w:numPr>
      </w:pPr>
      <w:r>
        <w:t xml:space="preserve">przewóz towarów niebezpiecznych wraz żywnością lub karmą dla zwierząt.</w:t>
      </w:r>
    </w:p>
    <w:p>
      <w:pPr>
        <w:pStyle w:val="Compact"/>
        <w:numPr>
          <w:numId w:val="1009"/>
          <w:ilvl w:val="1"/>
        </w:numPr>
      </w:pPr>
      <w:r>
        <w:t xml:space="preserve">przygotowanie multimedialnej jednostki ładunkowej,</w:t>
      </w:r>
    </w:p>
    <w:p>
      <w:pPr>
        <w:pStyle w:val="Compact"/>
        <w:numPr>
          <w:numId w:val="1009"/>
          <w:ilvl w:val="1"/>
        </w:numPr>
      </w:pPr>
      <w:r>
        <w:t xml:space="preserve">przepisy VGM w przewozach kontenerowych.</w:t>
      </w:r>
    </w:p>
    <w:p>
      <w:pPr>
        <w:pStyle w:val="Compact"/>
        <w:numPr>
          <w:numId w:val="1005"/>
          <w:ilvl w:val="0"/>
        </w:numPr>
      </w:pPr>
      <w:r>
        <w:t xml:space="preserve">Szkolenie osób zaangażowanych w obrót materiałami niebezpiecznymi:</w:t>
      </w:r>
    </w:p>
    <w:p>
      <w:pPr>
        <w:pStyle w:val="Compact"/>
        <w:numPr>
          <w:numId w:val="1010"/>
          <w:ilvl w:val="1"/>
        </w:numPr>
      </w:pPr>
      <w:r>
        <w:t xml:space="preserve">kto, kiedy i jakiemu szkoleniu podlega,</w:t>
      </w:r>
    </w:p>
    <w:p>
      <w:pPr>
        <w:pStyle w:val="Compact"/>
        <w:numPr>
          <w:numId w:val="1010"/>
          <w:ilvl w:val="1"/>
        </w:numPr>
      </w:pPr>
      <w:r>
        <w:t xml:space="preserve">rodzaje szkoleń,</w:t>
      </w:r>
    </w:p>
    <w:p>
      <w:pPr>
        <w:pStyle w:val="Compact"/>
        <w:numPr>
          <w:numId w:val="1010"/>
          <w:ilvl w:val="1"/>
        </w:numPr>
      </w:pPr>
      <w:r>
        <w:t xml:space="preserve">odpowiedzialność za nieprzeszkolenie personelu.</w:t>
      </w:r>
    </w:p>
    <w:p>
      <w:pPr>
        <w:pStyle w:val="Compact"/>
        <w:numPr>
          <w:numId w:val="1005"/>
          <w:ilvl w:val="0"/>
        </w:numPr>
      </w:pPr>
      <w:r>
        <w:t xml:space="preserve">Informacje z zakresu bezpieczeństwa w transporcie i magazynie:</w:t>
      </w:r>
    </w:p>
    <w:p>
      <w:pPr>
        <w:pStyle w:val="Compact"/>
        <w:numPr>
          <w:numId w:val="1011"/>
          <w:ilvl w:val="1"/>
        </w:numPr>
      </w:pPr>
      <w:r>
        <w:t xml:space="preserve">stosowane procedury ratownicze,</w:t>
      </w:r>
    </w:p>
    <w:p>
      <w:pPr>
        <w:pStyle w:val="Compact"/>
        <w:numPr>
          <w:numId w:val="1011"/>
          <w:ilvl w:val="1"/>
        </w:numPr>
      </w:pPr>
      <w:r>
        <w:t xml:space="preserve">postępowanie w przypadku wystąpienia zagrożenia,</w:t>
      </w:r>
    </w:p>
    <w:p>
      <w:pPr>
        <w:pStyle w:val="Compact"/>
        <w:numPr>
          <w:numId w:val="1011"/>
          <w:ilvl w:val="1"/>
        </w:numPr>
      </w:pPr>
      <w:r>
        <w:t xml:space="preserve">powiadamianie o zdarzeniach dotyczących towarów niebezpiecznych.</w:t>
      </w:r>
    </w:p>
    <w:p>
      <w:pPr>
        <w:pStyle w:val="Compact"/>
        <w:numPr>
          <w:numId w:val="1005"/>
          <w:ilvl w:val="0"/>
        </w:numPr>
      </w:pPr>
      <w:r>
        <w:t xml:space="preserve">Magazynowanie materiałów niebezpiecznych:</w:t>
      </w:r>
    </w:p>
    <w:p>
      <w:pPr>
        <w:pStyle w:val="Compact"/>
        <w:numPr>
          <w:numId w:val="1012"/>
          <w:ilvl w:val="1"/>
        </w:numPr>
      </w:pPr>
      <w:r>
        <w:t xml:space="preserve">pomieszczenia magazynowe - podstawowe wymogi,</w:t>
      </w:r>
    </w:p>
    <w:p>
      <w:pPr>
        <w:pStyle w:val="Compact"/>
        <w:numPr>
          <w:numId w:val="1012"/>
          <w:ilvl w:val="1"/>
        </w:numPr>
      </w:pPr>
      <w:r>
        <w:t xml:space="preserve">zasady składowania materiałów niebezpiecznych,</w:t>
      </w:r>
    </w:p>
    <w:p>
      <w:pPr>
        <w:pStyle w:val="Compact"/>
        <w:numPr>
          <w:numId w:val="1012"/>
          <w:ilvl w:val="1"/>
        </w:numPr>
      </w:pPr>
      <w:r>
        <w:t xml:space="preserve">organizowanie prac magazynowych,</w:t>
      </w:r>
    </w:p>
    <w:p>
      <w:pPr>
        <w:pStyle w:val="Compact"/>
        <w:numPr>
          <w:numId w:val="1012"/>
          <w:ilvl w:val="1"/>
        </w:numPr>
      </w:pPr>
      <w:r>
        <w:t xml:space="preserve">praktyczne stosowanie przepisów szczególnych w pracach magazynowych,</w:t>
      </w:r>
    </w:p>
    <w:p>
      <w:pPr>
        <w:pStyle w:val="Compact"/>
        <w:numPr>
          <w:numId w:val="1012"/>
          <w:ilvl w:val="1"/>
        </w:numPr>
      </w:pPr>
      <w:r>
        <w:t xml:space="preserve">postępowanie z próżnymi nieoczyszczonymi opakowaniami po materiałach niebezpiecznych,</w:t>
      </w:r>
    </w:p>
    <w:p>
      <w:pPr>
        <w:pStyle w:val="Compact"/>
        <w:numPr>
          <w:numId w:val="1012"/>
          <w:ilvl w:val="1"/>
        </w:numPr>
      </w:pPr>
      <w:r>
        <w:t xml:space="preserve">sprawowanie nadzoru i kontroli nad prawidłowym magazynowaniem i manipulowaniem materiałami niebezpiecznymi na terenie magazynu,</w:t>
      </w:r>
    </w:p>
    <w:p>
      <w:pPr>
        <w:pStyle w:val="Compact"/>
        <w:numPr>
          <w:numId w:val="1012"/>
          <w:ilvl w:val="1"/>
        </w:numPr>
      </w:pPr>
      <w:r>
        <w:t xml:space="preserve">zapewnienie prawidłowego oznakowania w magazynie,</w:t>
      </w:r>
    </w:p>
    <w:p>
      <w:pPr>
        <w:pStyle w:val="Compact"/>
        <w:numPr>
          <w:numId w:val="1012"/>
          <w:ilvl w:val="1"/>
        </w:numPr>
      </w:pPr>
      <w:r>
        <w:t xml:space="preserve">BHP w magazynie z materiałami niebezpiecznymi.</w:t>
      </w:r>
    </w:p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Przy zgłoszeniu do 27 listopada 2020r. obowiązuje cena 550 zł. Po tym terminie koszt wynosi 650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3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3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informacje-dodatkowe"/>
      <w:r>
        <w:t xml:space="preserve">Informacje dodatkowe</w:t>
      </w:r>
      <w:bookmarkEnd w:id="31"/>
    </w:p>
    <w:p>
      <w:pPr>
        <w:pStyle w:val="FirstParagraph"/>
      </w:pPr>
      <w:r>
        <w:t xml:space="preserve">Szkolenie onlnie będzie realizowane w blokach</w:t>
      </w:r>
      <w:r>
        <w:rPr>
          <w:b/>
        </w:rPr>
        <w:t xml:space="preserve"> 2 x 3h</w:t>
      </w:r>
      <w:r>
        <w:t xml:space="preserve"> </w:t>
      </w:r>
      <w:r>
        <w:t xml:space="preserve"> (1 dzień).</w:t>
      </w:r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6332397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e90155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83830092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ADR – Transport, składowanie i oznakowanie materiałów niebezpiecznych</dc:title>
  <dc:creator/>
  <cp:keywords/>
  <dcterms:created xsi:type="dcterms:W3CDTF">2020-11-25T03:02:19Z</dcterms:created>
  <dcterms:modified xsi:type="dcterms:W3CDTF">2020-11-25T03:02:19Z</dcterms:modified>
</cp:coreProperties>
</file>