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media/image1.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ytu"/>
      </w:pPr>
      <w:r>
        <w:t xml:space="preserve">Szkolenie</w:t>
      </w:r>
      <w:r>
        <w:t xml:space="preserve"> </w:t>
      </w:r>
      <w:r>
        <w:t xml:space="preserve">online:</w:t>
      </w:r>
      <w:r>
        <w:t xml:space="preserve"> </w:t>
      </w:r>
      <w:r>
        <w:t xml:space="preserve">AgilePM®</w:t>
      </w:r>
      <w:r>
        <w:t xml:space="preserve"> </w:t>
      </w:r>
      <w:r>
        <w:t xml:space="preserve">&amp;</w:t>
      </w:r>
      <w:r>
        <w:t xml:space="preserve"> </w:t>
      </w:r>
      <w:r>
        <w:t xml:space="preserve">AgileBA®</w:t>
      </w:r>
      <w:r>
        <w:t xml:space="preserve"> </w:t>
      </w:r>
      <w:r>
        <w:t xml:space="preserve">Foundation</w:t>
      </w:r>
      <w:r>
        <w:t xml:space="preserve"> </w:t>
      </w:r>
      <w:r>
        <w:t xml:space="preserve">-</w:t>
      </w:r>
      <w:r>
        <w:t xml:space="preserve"> </w:t>
      </w:r>
      <w:r>
        <w:t xml:space="preserve">szkolenie</w:t>
      </w:r>
      <w:r>
        <w:t xml:space="preserve"> </w:t>
      </w:r>
      <w:r>
        <w:t xml:space="preserve">akredytowane</w:t>
      </w:r>
    </w:p>
    <w:p>
      <w:pPr>
        <w:pStyle w:val="Nagwek1"/>
      </w:pPr>
      <w:bookmarkStart w:id="23" w:name="terminy-szkolenia"/>
      <w:r>
        <w:t xml:space="preserve">Terminy szkolenia</w:t>
      </w:r>
      <w:bookmarkEnd w:id="23"/>
    </w:p>
    <w:p>
      <w:pPr>
        <w:pStyle w:val="Compact"/>
        <w:numPr>
          <w:numId w:val="1001"/>
          <w:ilvl w:val="0"/>
        </w:numPr>
      </w:pPr>
      <w:r>
        <w:t xml:space="preserve">16-18 grudnia 2020 Online</w:t>
      </w:r>
    </w:p>
    <w:p>
      <w:pPr>
        <w:pStyle w:val="Nagwek1"/>
      </w:pPr>
      <w:bookmarkStart w:id="24" w:name="opis-szkolenia-i-cel"/>
      <w:r>
        <w:t xml:space="preserve">Opis szkolenia i cel</w:t>
      </w:r>
      <w:bookmarkEnd w:id="24"/>
    </w:p>
    <w:p>
      <w:pPr>
        <w:pStyle w:val="FirstParagraph"/>
      </w:pPr>
      <w:r>
        <w:t xml:space="preserve">Szkolenie AgilePM® &amp; AgileBA® nie jest szkoleniem wyłącznie dla Kierowników Projektów oraz Analityków Biznesowych. Jest to kurs dla wszystkich, którzy podejmują wyzwania w projektach o różnych rolach:</w:t>
      </w:r>
    </w:p>
    <w:p>
      <w:pPr>
        <w:pStyle w:val="Compact"/>
        <w:numPr>
          <w:numId w:val="1003"/>
          <w:ilvl w:val="0"/>
        </w:numPr>
      </w:pPr>
      <w:r>
        <w:t xml:space="preserve">biznesowych i technicznych,</w:t>
      </w:r>
    </w:p>
    <w:p>
      <w:pPr>
        <w:pStyle w:val="Compact"/>
        <w:numPr>
          <w:numId w:val="1003"/>
          <w:ilvl w:val="0"/>
        </w:numPr>
      </w:pPr>
      <w:r>
        <w:t xml:space="preserve">wy</w:t>
      </w:r>
      <w:r>
        <w:t xml:space="preserve">ższych rangą managerów, którzy ukierunkowują ogólne wymagania projektu,</w:t>
      </w:r>
    </w:p>
    <w:p>
      <w:pPr>
        <w:pStyle w:val="Compact"/>
        <w:numPr>
          <w:numId w:val="1003"/>
          <w:ilvl w:val="0"/>
        </w:numPr>
      </w:pPr>
      <w:r>
        <w:t xml:space="preserve">członków zespołu skupionych na szczegółach projektu</w:t>
      </w:r>
    </w:p>
    <w:p>
      <w:pPr>
        <w:pStyle w:val="FirstParagraph"/>
      </w:pPr>
      <w:r>
        <w:rPr>
          <w:b/>
        </w:rPr>
        <w:t xml:space="preserve">AgilePM®</w:t>
      </w:r>
      <w:r>
        <w:t xml:space="preserve"> jest bardzo popularną metodyką precyzyjnego zarządzania projektami opracowaną i utrzymywaną przez Agile Business Consortium. To prawdziwy Agile prezentujący filozofię efektywnego działania projektowego, poznanie filarów procesu, zasad, produktów i praktyk, które wyrastają z gruntu zdrowego rozsądku i pragmatyzmu, na którym zorientowana na cel metodyka ta stoi. Osadzony jest na pryncypiach, które powinny znaleźć zastosowanie w każdym projekcie, by prowadzić i wzmocnić szanse uzyskania sukcesu.</w:t>
      </w:r>
    </w:p>
    <w:p>
      <w:pPr>
        <w:pStyle w:val="Tekstpodstawowy"/>
      </w:pPr>
      <w:r>
        <w:br w:type="textWrapping"/>
      </w:r>
      <w:r>
        <w:rPr>
          <w:b/>
        </w:rPr>
        <w:t xml:space="preserve">AgileBA®</w:t>
      </w:r>
      <w:r>
        <w:t xml:space="preserve"> </w:t>
      </w:r>
      <w:r>
        <w:t xml:space="preserve">to zbiór wskazówek i dobrych praktyk zastosowania metod analizy biznesowej w zwinnych projektach. Akcentuje rolę i umiejętności Analityka Biznesowego w projekcie w różnych momentach jego cyklu życia. Bardzo dużo porad dotyczy zastosowania modelowania, prototypowania oraz facylitacji warsztatowej w komunikacji projektowej.</w:t>
      </w:r>
      <w:r>
        <w:br w:type="textWrapping"/>
      </w:r>
      <w:r>
        <w:t xml:space="preserve"> </w:t>
      </w:r>
    </w:p>
    <w:p>
      <w:pPr>
        <w:pStyle w:val="Tekstpodstawowy"/>
      </w:pPr>
      <w:r>
        <w:t xml:space="preserve">Zauważyliśmy, że sukces projektu zależy od praktycznego zastosowania dwóch powyżej wymienionych dyscyplin wiedzy. Dopiero gdy projekt jest poprawnie zarządzany i we właściwy sposób zastosowano w nim analizę biznesową, możemy spodziewać się sukcesu.</w:t>
      </w:r>
      <w:r>
        <w:br w:type="textWrapping"/>
      </w:r>
      <w:r>
        <w:t xml:space="preserve">Udało nam się zintegrować AgilePM® i AgileBA® w jednym szkoleniu. Było to możliwe gdyż, pewne mechanizmy są wspólne dla obydwu dyscyplin i muszą być zrozumiane zarówno przez kierującego projektem jak i prowadzącego analizę biznesową. Pewne obszary wiedzy są różne ale jesteśmy przekonani, że po tym szkoleniu zarówno Kierownik Projektu, Analityk Biznesowy jak i wszyscy uczestniczący projektu będą rozumieli znaczenie współpracy i metodycznego działania.</w:t>
      </w:r>
    </w:p>
    <w:p>
      <w:pPr>
        <w:pStyle w:val="Nagwek1"/>
      </w:pPr>
      <w:bookmarkStart w:id="25" w:name="korzyści-dla-uczestników"/>
      <w:r>
        <w:t xml:space="preserve">Korzyści dla uczestników</w:t>
      </w:r>
      <w:bookmarkEnd w:id="25"/>
    </w:p>
    <w:p>
      <w:pPr>
        <w:pStyle w:val="FirstParagraph"/>
      </w:pPr>
      <w:r>
        <w:t xml:space="preserve">•    zdobycie wiedzy na temat procesów istniejących w projektach,</w:t>
      </w:r>
      <w:r>
        <w:br w:type="textWrapping"/>
      </w:r>
      <w:r>
        <w:t xml:space="preserve">•    zdobycie wiedzy na temat produktów wytwarzanych przez projekt,</w:t>
      </w:r>
      <w:r>
        <w:br w:type="textWrapping"/>
      </w:r>
      <w:r>
        <w:t xml:space="preserve">•    zrozumienie i zdefiniowanie ról projektowych zgodnie z metodyką Agile,</w:t>
      </w:r>
      <w:r>
        <w:br w:type="textWrapping"/>
      </w:r>
      <w:r>
        <w:t xml:space="preserve">•    umiejętność zastosowania odpowiednich narzędzi do zarządzania projektami,</w:t>
      </w:r>
      <w:r>
        <w:br w:type="textWrapping"/>
      </w:r>
      <w:r>
        <w:t xml:space="preserve">•    poprawienie zdolności komunikacyjnych w projekcie,</w:t>
      </w:r>
      <w:r>
        <w:br w:type="textWrapping"/>
      </w:r>
      <w:r>
        <w:t xml:space="preserve">•    umiejętność definiowania wymagań projektów oraz odpowiedniej ich organizacji,</w:t>
      </w:r>
      <w:r>
        <w:br w:type="textWrapping"/>
      </w:r>
      <w:r>
        <w:t xml:space="preserve">•    poznanie metod umożliwiających skrócenie czasu trwania projektów,</w:t>
      </w:r>
      <w:r>
        <w:br w:type="textWrapping"/>
      </w:r>
      <w:r>
        <w:t xml:space="preserve">•    poznanie różnych stylów, którymi można zarządzać projekty,</w:t>
      </w:r>
      <w:r>
        <w:br w:type="textWrapping"/>
      </w:r>
      <w:r>
        <w:t xml:space="preserve">•    zdobycie wiedzy na temat różnic w zarządzaniu kaskadowym a zwinnym,</w:t>
      </w:r>
      <w:r>
        <w:br w:type="textWrapping"/>
      </w:r>
      <w:r>
        <w:t xml:space="preserve">•    umiejętność budowania relacji pomiędzy organizacją projektową a komitetem sterującym projektem,</w:t>
      </w:r>
      <w:r>
        <w:br w:type="textWrapping"/>
      </w:r>
      <w:r>
        <w:t xml:space="preserve">•    umiejętność kreowania prawidłowej współpracy pomiędzy pracownikami technicznymi oraz biznesowymi,</w:t>
      </w:r>
      <w:r>
        <w:br w:type="textWrapping"/>
      </w:r>
      <w:r>
        <w:t xml:space="preserve">•    umiejętność szybszej i skuteczniejszej implementacji zmian biznesowych w organizacjach,</w:t>
      </w:r>
      <w:r>
        <w:br w:type="textWrapping"/>
      </w:r>
      <w:r>
        <w:t xml:space="preserve">•    zdobycie międzynarodowego certyfikatu Agile.</w:t>
      </w:r>
    </w:p>
    <w:p>
      <w:pPr>
        <w:pStyle w:val="Nagwek1"/>
      </w:pPr>
      <w:bookmarkStart w:id="26" w:name="czas-trwania"/>
      <w:r>
        <w:t xml:space="preserve">Czas trwania</w:t>
      </w:r>
      <w:bookmarkEnd w:id="26"/>
    </w:p>
    <w:p>
      <w:pPr>
        <w:pStyle w:val="Compact"/>
      </w:pPr>
      <w:r>
        <w:t xml:space="preserve">24 godzin dydaktycznych - 3 dni</w:t>
      </w:r>
    </w:p>
    <w:p>
      <w:pPr>
        <w:pStyle w:val="Nagwek1"/>
      </w:pPr>
      <w:bookmarkStart w:id="27" w:name="program-szkolenia"/>
      <w:r>
        <w:t xml:space="preserve">Program szkolenia</w:t>
      </w:r>
      <w:bookmarkEnd w:id="27"/>
    </w:p>
    <w:p>
      <w:pPr>
        <w:pStyle w:val="FirstParagraph"/>
      </w:pPr>
      <w:r>
        <w:rPr>
          <w:b/>
        </w:rPr>
        <w:t xml:space="preserve">Dzień 1</w:t>
      </w:r>
    </w:p>
    <w:p>
      <w:pPr>
        <w:pStyle w:val="Compact"/>
        <w:numPr>
          <w:numId w:val="1004"/>
          <w:ilvl w:val="0"/>
        </w:numPr>
      </w:pPr>
      <w:r>
        <w:rPr>
          <w:b/>
        </w:rPr>
        <w:t xml:space="preserve">Wprowadzenie do kursu.</w:t>
      </w:r>
    </w:p>
    <w:p>
      <w:pPr>
        <w:pStyle w:val="Compact"/>
        <w:numPr>
          <w:numId w:val="1004"/>
          <w:ilvl w:val="0"/>
        </w:numPr>
      </w:pPr>
      <w:r>
        <w:rPr>
          <w:b/>
        </w:rPr>
        <w:t xml:space="preserve">Wprowadzenie do Agile:</w:t>
      </w:r>
    </w:p>
    <w:p>
      <w:pPr>
        <w:pStyle w:val="Compact"/>
        <w:numPr>
          <w:numId w:val="1005"/>
          <w:ilvl w:val="1"/>
        </w:numPr>
      </w:pPr>
      <w:r>
        <w:t xml:space="preserve">Ład P3: portfel, program, projekt,</w:t>
      </w:r>
    </w:p>
    <w:p>
      <w:pPr>
        <w:pStyle w:val="Compact"/>
        <w:numPr>
          <w:numId w:val="1005"/>
          <w:ilvl w:val="1"/>
        </w:numPr>
      </w:pPr>
      <w:r>
        <w:t xml:space="preserve">wynik, potencjał, umożliwienie, rezultat, korzyść,</w:t>
      </w:r>
    </w:p>
    <w:p>
      <w:pPr>
        <w:pStyle w:val="Compact"/>
        <w:numPr>
          <w:numId w:val="1005"/>
          <w:ilvl w:val="1"/>
        </w:numPr>
      </w:pPr>
      <w:r>
        <w:t xml:space="preserve">aspekty zarządzania projektem,</w:t>
      </w:r>
    </w:p>
    <w:p>
      <w:pPr>
        <w:pStyle w:val="Compact"/>
        <w:numPr>
          <w:numId w:val="1005"/>
          <w:ilvl w:val="1"/>
        </w:numPr>
      </w:pPr>
      <w:r>
        <w:t xml:space="preserve">problemy w projektach tradycyjnych,</w:t>
      </w:r>
    </w:p>
    <w:p>
      <w:pPr>
        <w:pStyle w:val="Compact"/>
        <w:numPr>
          <w:numId w:val="1005"/>
          <w:ilvl w:val="1"/>
        </w:numPr>
      </w:pPr>
      <w:r>
        <w:t xml:space="preserve">historia Agile - Manifest Agile,</w:t>
      </w:r>
    </w:p>
    <w:p>
      <w:pPr>
        <w:pStyle w:val="Compact"/>
        <w:numPr>
          <w:numId w:val="1005"/>
          <w:ilvl w:val="1"/>
        </w:numPr>
      </w:pPr>
      <w:r>
        <w:t xml:space="preserve">Agile vs. Waterfall,</w:t>
      </w:r>
    </w:p>
    <w:p>
      <w:pPr>
        <w:pStyle w:val="Compact"/>
        <w:numPr>
          <w:numId w:val="1005"/>
          <w:ilvl w:val="1"/>
        </w:numPr>
      </w:pPr>
      <w:r>
        <w:t xml:space="preserve">aspekty zarządzania projektem Agile.</w:t>
      </w:r>
    </w:p>
    <w:p>
      <w:pPr>
        <w:pStyle w:val="Compact"/>
        <w:numPr>
          <w:numId w:val="1004"/>
          <w:ilvl w:val="0"/>
        </w:numPr>
      </w:pPr>
      <w:r>
        <w:rPr>
          <w:b/>
        </w:rPr>
        <w:t xml:space="preserve">Podstawy AgilePM®:</w:t>
      </w:r>
    </w:p>
    <w:p>
      <w:pPr>
        <w:pStyle w:val="Compact"/>
        <w:numPr>
          <w:numId w:val="1006"/>
          <w:ilvl w:val="1"/>
        </w:numPr>
      </w:pPr>
      <w:r>
        <w:t xml:space="preserve">świątynia DSDM,</w:t>
      </w:r>
    </w:p>
    <w:p>
      <w:pPr>
        <w:pStyle w:val="Compact"/>
        <w:numPr>
          <w:numId w:val="1006"/>
          <w:ilvl w:val="1"/>
        </w:numPr>
      </w:pPr>
      <w:r>
        <w:t xml:space="preserve">filozofia i etos,</w:t>
      </w:r>
    </w:p>
    <w:p>
      <w:pPr>
        <w:pStyle w:val="Compact"/>
        <w:numPr>
          <w:numId w:val="1006"/>
          <w:ilvl w:val="1"/>
        </w:numPr>
      </w:pPr>
      <w:r>
        <w:t xml:space="preserve">pryncypia,</w:t>
      </w:r>
    </w:p>
    <w:p>
      <w:pPr>
        <w:pStyle w:val="Compact"/>
        <w:numPr>
          <w:numId w:val="1006"/>
          <w:ilvl w:val="1"/>
        </w:numPr>
      </w:pPr>
      <w:r>
        <w:t xml:space="preserve">ludzie,</w:t>
      </w:r>
    </w:p>
    <w:p>
      <w:pPr>
        <w:pStyle w:val="Compact"/>
        <w:numPr>
          <w:numId w:val="1006"/>
          <w:ilvl w:val="1"/>
        </w:numPr>
      </w:pPr>
      <w:r>
        <w:t xml:space="preserve">proces,</w:t>
      </w:r>
    </w:p>
    <w:p>
      <w:pPr>
        <w:pStyle w:val="Compact"/>
        <w:numPr>
          <w:numId w:val="1006"/>
          <w:ilvl w:val="1"/>
        </w:numPr>
      </w:pPr>
      <w:r>
        <w:t xml:space="preserve">produkty,</w:t>
      </w:r>
    </w:p>
    <w:p>
      <w:pPr>
        <w:pStyle w:val="Compact"/>
        <w:numPr>
          <w:numId w:val="1006"/>
          <w:ilvl w:val="1"/>
        </w:numPr>
      </w:pPr>
      <w:r>
        <w:t xml:space="preserve">praktyki.</w:t>
      </w:r>
    </w:p>
    <w:p>
      <w:pPr>
        <w:pStyle w:val="Compact"/>
        <w:numPr>
          <w:numId w:val="1004"/>
          <w:ilvl w:val="0"/>
        </w:numPr>
      </w:pPr>
      <w:r>
        <w:rPr>
          <w:b/>
        </w:rPr>
        <w:t xml:space="preserve"> Podstawy AgileBA®:</w:t>
      </w:r>
    </w:p>
    <w:p>
      <w:pPr>
        <w:pStyle w:val="Compact"/>
        <w:numPr>
          <w:numId w:val="1007"/>
          <w:ilvl w:val="1"/>
        </w:numPr>
      </w:pPr>
      <w:r>
        <w:t xml:space="preserve">holistyczne spojrzenie na biznes (organizacja, proces, ludzie, technologia),</w:t>
      </w:r>
    </w:p>
    <w:p>
      <w:pPr>
        <w:pStyle w:val="Compact"/>
        <w:numPr>
          <w:numId w:val="1007"/>
          <w:ilvl w:val="1"/>
        </w:numPr>
      </w:pPr>
      <w:r>
        <w:t xml:space="preserve">analiza wewnętrzna (SWOT, TOWS, MOST, Audyt Zasobów),</w:t>
      </w:r>
    </w:p>
    <w:p>
      <w:pPr>
        <w:pStyle w:val="Compact"/>
        <w:numPr>
          <w:numId w:val="1007"/>
          <w:ilvl w:val="1"/>
        </w:numPr>
      </w:pPr>
      <w:r>
        <w:t xml:space="preserve">analiza zewnętrzna (PESTLE, 5 Sił Portera),</w:t>
      </w:r>
    </w:p>
    <w:p>
      <w:pPr>
        <w:pStyle w:val="Compact"/>
        <w:numPr>
          <w:numId w:val="1007"/>
          <w:ilvl w:val="1"/>
        </w:numPr>
      </w:pPr>
      <w:r>
        <w:t xml:space="preserve">analiza Łańcucha Wartości,</w:t>
      </w:r>
    </w:p>
    <w:p>
      <w:pPr>
        <w:pStyle w:val="Compact"/>
        <w:numPr>
          <w:numId w:val="1007"/>
          <w:ilvl w:val="1"/>
        </w:numPr>
      </w:pPr>
      <w:r>
        <w:t xml:space="preserve">myślenie Lean,</w:t>
      </w:r>
    </w:p>
    <w:p>
      <w:pPr>
        <w:pStyle w:val="Compact"/>
        <w:numPr>
          <w:numId w:val="1007"/>
          <w:ilvl w:val="1"/>
        </w:numPr>
      </w:pPr>
      <w:r>
        <w:t xml:space="preserve"> implementowanie strategii organizacji (Model 7S McKinseya, Zrównoważona Karta Wyników Biznesowych),</w:t>
      </w:r>
    </w:p>
    <w:p>
      <w:pPr>
        <w:pStyle w:val="Compact"/>
        <w:numPr>
          <w:numId w:val="1007"/>
          <w:ilvl w:val="1"/>
        </w:numPr>
      </w:pPr>
      <w:r>
        <w:t xml:space="preserve"> analiza Interesariuszy (RACI/RASCI, Macierz Wpływu i Zainteresowania).</w:t>
      </w:r>
    </w:p>
    <w:p>
      <w:pPr>
        <w:pStyle w:val="Compact"/>
        <w:numPr>
          <w:numId w:val="1004"/>
          <w:ilvl w:val="0"/>
        </w:numPr>
      </w:pPr>
      <w:r>
        <w:rPr>
          <w:b/>
        </w:rPr>
        <w:t xml:space="preserve">Interesariusze, role i odpowiedzialności:</w:t>
      </w:r>
    </w:p>
    <w:p>
      <w:pPr>
        <w:pStyle w:val="Compact"/>
        <w:numPr>
          <w:numId w:val="1008"/>
          <w:ilvl w:val="1"/>
        </w:numPr>
      </w:pPr>
      <w:r>
        <w:t xml:space="preserve">kategorie interesariuszy projektu,</w:t>
      </w:r>
    </w:p>
    <w:p>
      <w:pPr>
        <w:pStyle w:val="Compact"/>
        <w:numPr>
          <w:numId w:val="1008"/>
          <w:ilvl w:val="1"/>
        </w:numPr>
      </w:pPr>
      <w:r>
        <w:t xml:space="preserve">role DSDM wg Kategorii,</w:t>
      </w:r>
    </w:p>
    <w:p>
      <w:pPr>
        <w:pStyle w:val="Compact"/>
        <w:numPr>
          <w:numId w:val="1008"/>
          <w:ilvl w:val="1"/>
        </w:numPr>
      </w:pPr>
      <w:r>
        <w:t xml:space="preserve">role DSDM wg Interesów,</w:t>
      </w:r>
    </w:p>
    <w:p>
      <w:pPr>
        <w:pStyle w:val="Compact"/>
        <w:numPr>
          <w:numId w:val="1008"/>
          <w:ilvl w:val="1"/>
        </w:numPr>
      </w:pPr>
      <w:r>
        <w:t xml:space="preserve"> projekty wielu organizacji,</w:t>
      </w:r>
    </w:p>
    <w:p>
      <w:pPr>
        <w:pStyle w:val="Compact"/>
        <w:numPr>
          <w:numId w:val="1008"/>
          <w:ilvl w:val="1"/>
        </w:numPr>
      </w:pPr>
      <w:r>
        <w:t xml:space="preserve">umocowanie i eskalacja.</w:t>
      </w:r>
    </w:p>
    <w:p>
      <w:pPr>
        <w:pStyle w:val="Compact"/>
        <w:numPr>
          <w:numId w:val="1004"/>
          <w:ilvl w:val="0"/>
        </w:numPr>
      </w:pPr>
      <w:r>
        <w:rPr>
          <w:b/>
        </w:rPr>
        <w:t xml:space="preserve">Ludzie, zespoły i interakcje:</w:t>
      </w:r>
    </w:p>
    <w:p>
      <w:pPr>
        <w:pStyle w:val="Compact"/>
        <w:numPr>
          <w:numId w:val="1009"/>
          <w:ilvl w:val="1"/>
        </w:numPr>
      </w:pPr>
      <w:r>
        <w:t xml:space="preserve">ważność komunikacji i współpracy,</w:t>
      </w:r>
    </w:p>
    <w:p>
      <w:pPr>
        <w:pStyle w:val="Compact"/>
        <w:numPr>
          <w:numId w:val="1009"/>
          <w:ilvl w:val="1"/>
        </w:numPr>
      </w:pPr>
      <w:r>
        <w:t xml:space="preserve">ingredienty efektywnej współpracy,</w:t>
      </w:r>
    </w:p>
    <w:p>
      <w:pPr>
        <w:pStyle w:val="Compact"/>
        <w:numPr>
          <w:numId w:val="1009"/>
          <w:ilvl w:val="1"/>
        </w:numPr>
      </w:pPr>
      <w:r>
        <w:t xml:space="preserve">organizacyjne bariery dla współpracy,</w:t>
      </w:r>
    </w:p>
    <w:p>
      <w:pPr>
        <w:pStyle w:val="Compact"/>
        <w:numPr>
          <w:numId w:val="1009"/>
          <w:ilvl w:val="1"/>
        </w:numPr>
      </w:pPr>
      <w:r>
        <w:t xml:space="preserve">kultura wsparcia vs. kultura obwiniania,</w:t>
      </w:r>
    </w:p>
    <w:p>
      <w:pPr>
        <w:pStyle w:val="Compact"/>
        <w:numPr>
          <w:numId w:val="1009"/>
          <w:ilvl w:val="1"/>
        </w:numPr>
      </w:pPr>
      <w:r>
        <w:t xml:space="preserve">style zarządzania: tradycyjny i Agile.</w:t>
      </w:r>
    </w:p>
    <w:p>
      <w:pPr>
        <w:pStyle w:val="Compact"/>
        <w:numPr>
          <w:numId w:val="1004"/>
          <w:ilvl w:val="0"/>
        </w:numPr>
      </w:pPr>
      <w:r>
        <w:rPr>
          <w:b/>
        </w:rPr>
        <w:t xml:space="preserve">Ćwiczenie: Organizacja projektu.</w:t>
      </w:r>
    </w:p>
    <w:p>
      <w:pPr>
        <w:pStyle w:val="Compact"/>
        <w:numPr>
          <w:numId w:val="1004"/>
          <w:ilvl w:val="0"/>
        </w:numPr>
      </w:pPr>
      <w:r>
        <w:rPr>
          <w:b/>
        </w:rPr>
        <w:t xml:space="preserve">Przykładowe egzaminy AgilePM®/BA® Foundation.</w:t>
      </w:r>
    </w:p>
    <w:p>
      <w:pPr>
        <w:pStyle w:val="FirstParagraph"/>
      </w:pPr>
      <w:r>
        <w:t xml:space="preserve"> </w:t>
      </w:r>
    </w:p>
    <w:p>
      <w:pPr>
        <w:pStyle w:val="Tekstpodstawowy"/>
      </w:pPr>
      <w:r>
        <w:rPr>
          <w:b/>
        </w:rPr>
        <w:t xml:space="preserve">Dzień 2</w:t>
      </w:r>
    </w:p>
    <w:p>
      <w:pPr>
        <w:pStyle w:val="Compact"/>
        <w:numPr>
          <w:numId w:val="1010"/>
          <w:ilvl w:val="0"/>
        </w:numPr>
      </w:pPr>
      <w:r>
        <w:rPr>
          <w:b/>
        </w:rPr>
        <w:t xml:space="preserve">Przygotowanie do sukcesu:</w:t>
      </w:r>
    </w:p>
    <w:p>
      <w:pPr>
        <w:pStyle w:val="Compact"/>
        <w:numPr>
          <w:numId w:val="1011"/>
          <w:ilvl w:val="1"/>
        </w:numPr>
      </w:pPr>
      <w:r>
        <w:t xml:space="preserve">pozycjonowanie projektu do sukcesu,</w:t>
      </w:r>
    </w:p>
    <w:p>
      <w:pPr>
        <w:pStyle w:val="Compact"/>
        <w:numPr>
          <w:numId w:val="1011"/>
          <w:ilvl w:val="1"/>
        </w:numPr>
      </w:pPr>
      <w:r>
        <w:t xml:space="preserve">instrumentalne czynniki sukcesu Agile,</w:t>
      </w:r>
    </w:p>
    <w:p>
      <w:pPr>
        <w:pStyle w:val="Compact"/>
        <w:numPr>
          <w:numId w:val="1011"/>
          <w:ilvl w:val="1"/>
        </w:numPr>
      </w:pPr>
      <w:r>
        <w:t xml:space="preserve">kwestionariusz Podejścia do Projektu.</w:t>
      </w:r>
    </w:p>
    <w:p>
      <w:pPr>
        <w:pStyle w:val="Compact"/>
        <w:numPr>
          <w:numId w:val="1010"/>
          <w:ilvl w:val="0"/>
        </w:numPr>
      </w:pPr>
      <w:r>
        <w:rPr>
          <w:b/>
        </w:rPr>
        <w:t xml:space="preserve">Proces i produkty DSDM:</w:t>
      </w:r>
    </w:p>
    <w:p>
      <w:pPr>
        <w:pStyle w:val="Compact"/>
        <w:numPr>
          <w:numId w:val="1012"/>
          <w:ilvl w:val="1"/>
        </w:numPr>
      </w:pPr>
      <w:r>
        <w:t xml:space="preserve">fazy cyklu życia DSDM,</w:t>
      </w:r>
    </w:p>
    <w:p>
      <w:pPr>
        <w:pStyle w:val="Compact"/>
        <w:numPr>
          <w:numId w:val="1012"/>
          <w:ilvl w:val="1"/>
        </w:numPr>
      </w:pPr>
      <w:r>
        <w:t xml:space="preserve">produkty w cyklu życia DSDM.</w:t>
      </w:r>
    </w:p>
    <w:p>
      <w:pPr>
        <w:pStyle w:val="Compact"/>
        <w:numPr>
          <w:numId w:val="1010"/>
          <w:ilvl w:val="0"/>
        </w:numPr>
      </w:pPr>
      <w:r>
        <w:rPr>
          <w:b/>
        </w:rPr>
        <w:t xml:space="preserve">Planowanie i kontrola:</w:t>
      </w:r>
    </w:p>
    <w:p>
      <w:pPr>
        <w:pStyle w:val="Compact"/>
        <w:numPr>
          <w:numId w:val="1013"/>
          <w:ilvl w:val="1"/>
        </w:numPr>
      </w:pPr>
      <w:r>
        <w:t xml:space="preserve">koncepcje planowania projektu,</w:t>
      </w:r>
    </w:p>
    <w:p>
      <w:pPr>
        <w:pStyle w:val="Compact"/>
        <w:numPr>
          <w:numId w:val="1013"/>
          <w:ilvl w:val="1"/>
        </w:numPr>
      </w:pPr>
      <w:r>
        <w:t xml:space="preserve">koncepcje testowania,</w:t>
      </w:r>
    </w:p>
    <w:p>
      <w:pPr>
        <w:pStyle w:val="Compact"/>
        <w:numPr>
          <w:numId w:val="1013"/>
          <w:ilvl w:val="1"/>
        </w:numPr>
      </w:pPr>
      <w:r>
        <w:t xml:space="preserve">koncepcje testowania i kontroli.</w:t>
      </w:r>
    </w:p>
    <w:p>
      <w:pPr>
        <w:pStyle w:val="Compact"/>
        <w:numPr>
          <w:numId w:val="1010"/>
          <w:ilvl w:val="0"/>
        </w:numPr>
      </w:pPr>
      <w:r>
        <w:rPr>
          <w:b/>
        </w:rPr>
        <w:t xml:space="preserve">Ćwiczenie: Cykl życia projektu DSDM.</w:t>
      </w:r>
    </w:p>
    <w:p>
      <w:pPr>
        <w:pStyle w:val="Compact"/>
        <w:numPr>
          <w:numId w:val="1010"/>
          <w:ilvl w:val="0"/>
        </w:numPr>
      </w:pPr>
      <w:r>
        <w:rPr>
          <w:b/>
        </w:rPr>
        <w:t xml:space="preserve">Stosowanie Timeboxów i Rozwój Iteracyjny:</w:t>
      </w:r>
    </w:p>
    <w:p>
      <w:pPr>
        <w:pStyle w:val="Compact"/>
        <w:numPr>
          <w:numId w:val="1014"/>
          <w:ilvl w:val="1"/>
        </w:numPr>
      </w:pPr>
      <w:r>
        <w:t xml:space="preserve">koncepcja Timeboxa,</w:t>
      </w:r>
    </w:p>
    <w:p>
      <w:pPr>
        <w:pStyle w:val="Compact"/>
        <w:numPr>
          <w:numId w:val="1014"/>
          <w:ilvl w:val="1"/>
        </w:numPr>
      </w:pPr>
      <w:r>
        <w:t xml:space="preserve">formaty/style Timeboxów,</w:t>
      </w:r>
    </w:p>
    <w:p>
      <w:pPr>
        <w:pStyle w:val="Compact"/>
        <w:numPr>
          <w:numId w:val="1014"/>
          <w:ilvl w:val="1"/>
        </w:numPr>
      </w:pPr>
      <w:r>
        <w:t xml:space="preserve">codzienny Stand-up,</w:t>
      </w:r>
    </w:p>
    <w:p>
      <w:pPr>
        <w:pStyle w:val="Compact"/>
        <w:numPr>
          <w:numId w:val="1014"/>
          <w:ilvl w:val="1"/>
        </w:numPr>
      </w:pPr>
      <w:r>
        <w:t xml:space="preserve">tablica Zespołu,</w:t>
      </w:r>
    </w:p>
    <w:p>
      <w:pPr>
        <w:pStyle w:val="Compact"/>
        <w:numPr>
          <w:numId w:val="1014"/>
          <w:ilvl w:val="1"/>
        </w:numPr>
      </w:pPr>
      <w:r>
        <w:t xml:space="preserve">koncepcja Rozwoju Iteracyjnego,</w:t>
      </w:r>
    </w:p>
    <w:p>
      <w:pPr>
        <w:pStyle w:val="Compact"/>
        <w:numPr>
          <w:numId w:val="1014"/>
          <w:ilvl w:val="1"/>
        </w:numPr>
      </w:pPr>
      <w:r>
        <w:t xml:space="preserve">Agile BA® w Timeboxie i Rozwoju Iteracyjnym.</w:t>
      </w:r>
    </w:p>
    <w:p>
      <w:pPr>
        <w:pStyle w:val="Compact"/>
        <w:numPr>
          <w:numId w:val="1010"/>
          <w:ilvl w:val="0"/>
        </w:numPr>
      </w:pPr>
      <w:r>
        <w:rPr>
          <w:b/>
        </w:rPr>
        <w:t xml:space="preserve">Wymagania.</w:t>
      </w:r>
    </w:p>
    <w:p>
      <w:pPr>
        <w:pStyle w:val="Compact"/>
        <w:numPr>
          <w:numId w:val="1015"/>
          <w:ilvl w:val="1"/>
        </w:numPr>
      </w:pPr>
      <w:r>
        <w:t xml:space="preserve">co to jest wymaganie,</w:t>
      </w:r>
    </w:p>
    <w:p>
      <w:pPr>
        <w:pStyle w:val="Compact"/>
        <w:numPr>
          <w:numId w:val="1015"/>
          <w:ilvl w:val="1"/>
        </w:numPr>
      </w:pPr>
      <w:r>
        <w:t xml:space="preserve">kategorie wymagań,</w:t>
      </w:r>
    </w:p>
    <w:p>
      <w:pPr>
        <w:pStyle w:val="Compact"/>
        <w:numPr>
          <w:numId w:val="1015"/>
          <w:ilvl w:val="1"/>
        </w:numPr>
      </w:pPr>
      <w:r>
        <w:t xml:space="preserve">co to jest Historyjka Użytkownika,</w:t>
      </w:r>
    </w:p>
    <w:p>
      <w:pPr>
        <w:pStyle w:val="Compact"/>
        <w:numPr>
          <w:numId w:val="1015"/>
          <w:ilvl w:val="1"/>
        </w:numPr>
      </w:pPr>
      <w:r>
        <w:t xml:space="preserve">hierarchia Historyjek Użytkownika,</w:t>
      </w:r>
    </w:p>
    <w:p>
      <w:pPr>
        <w:pStyle w:val="Compact"/>
        <w:numPr>
          <w:numId w:val="1015"/>
          <w:ilvl w:val="1"/>
        </w:numPr>
      </w:pPr>
      <w:r>
        <w:t xml:space="preserve">karta Historyjki Użytkownika,</w:t>
      </w:r>
    </w:p>
    <w:p>
      <w:pPr>
        <w:pStyle w:val="Compact"/>
        <w:numPr>
          <w:numId w:val="1015"/>
          <w:ilvl w:val="1"/>
        </w:numPr>
      </w:pPr>
      <w:r>
        <w:t xml:space="preserve">inżynieria wymagań (elicytacja, analiza, walidacja, zarządzanie i dokumentacja),</w:t>
      </w:r>
    </w:p>
    <w:p>
      <w:pPr>
        <w:pStyle w:val="Compact"/>
        <w:numPr>
          <w:numId w:val="1015"/>
          <w:ilvl w:val="1"/>
        </w:numPr>
      </w:pPr>
      <w:r>
        <w:t xml:space="preserve">typy wiedzy i sposoby pozyskania,</w:t>
      </w:r>
    </w:p>
    <w:p>
      <w:pPr>
        <w:pStyle w:val="Compact"/>
        <w:numPr>
          <w:numId w:val="1015"/>
          <w:ilvl w:val="1"/>
        </w:numPr>
      </w:pPr>
      <w:r>
        <w:t xml:space="preserve">wymagania w cyklu życia DSDM.</w:t>
      </w:r>
    </w:p>
    <w:p>
      <w:pPr>
        <w:pStyle w:val="Compact"/>
        <w:numPr>
          <w:numId w:val="1010"/>
          <w:ilvl w:val="0"/>
        </w:numPr>
      </w:pPr>
      <w:r>
        <w:rPr>
          <w:b/>
        </w:rPr>
        <w:t xml:space="preserve">Uzasadnienie Biznesowe i Priorytetyzacja:</w:t>
      </w:r>
    </w:p>
    <w:p>
      <w:pPr>
        <w:pStyle w:val="Compact"/>
        <w:numPr>
          <w:numId w:val="1016"/>
          <w:ilvl w:val="1"/>
        </w:numPr>
      </w:pPr>
      <w:r>
        <w:t xml:space="preserve">uzasadnienie Biznesowe projektu, programu i strategii,</w:t>
      </w:r>
    </w:p>
    <w:p>
      <w:pPr>
        <w:pStyle w:val="Compact"/>
        <w:numPr>
          <w:numId w:val="1016"/>
          <w:ilvl w:val="1"/>
        </w:numPr>
      </w:pPr>
      <w:r>
        <w:t xml:space="preserve">zawartość Uzasadnienia Biznesowego,</w:t>
      </w:r>
    </w:p>
    <w:p>
      <w:pPr>
        <w:pStyle w:val="Compact"/>
        <w:numPr>
          <w:numId w:val="1016"/>
          <w:ilvl w:val="1"/>
        </w:numPr>
      </w:pPr>
      <w:r>
        <w:t xml:space="preserve">uzasadnienie Biznesowe w Agile,</w:t>
      </w:r>
    </w:p>
    <w:p>
      <w:pPr>
        <w:pStyle w:val="Compact"/>
        <w:numPr>
          <w:numId w:val="1016"/>
          <w:ilvl w:val="1"/>
        </w:numPr>
      </w:pPr>
      <w:r>
        <w:t xml:space="preserve">priorytetyzacja MoSCoW,</w:t>
      </w:r>
    </w:p>
    <w:p>
      <w:pPr>
        <w:pStyle w:val="Compact"/>
        <w:numPr>
          <w:numId w:val="1016"/>
          <w:ilvl w:val="1"/>
        </w:numPr>
      </w:pPr>
      <w:r>
        <w:t xml:space="preserve">scenariusze Uzasadnienia Biznesowego,</w:t>
      </w:r>
    </w:p>
    <w:p>
      <w:pPr>
        <w:pStyle w:val="Compact"/>
        <w:numPr>
          <w:numId w:val="1016"/>
          <w:ilvl w:val="1"/>
        </w:numPr>
      </w:pPr>
      <w:r>
        <w:t xml:space="preserve">model Kano,</w:t>
      </w:r>
    </w:p>
    <w:p>
      <w:pPr>
        <w:pStyle w:val="Compact"/>
        <w:numPr>
          <w:numId w:val="1016"/>
          <w:ilvl w:val="1"/>
        </w:numPr>
      </w:pPr>
      <w:r>
        <w:t xml:space="preserve">uzasadnienie Biznesowe i Priorytetyzacja w cyklu życia DSDM.</w:t>
      </w:r>
    </w:p>
    <w:p>
      <w:pPr>
        <w:pStyle w:val="Compact"/>
        <w:numPr>
          <w:numId w:val="1010"/>
          <w:ilvl w:val="0"/>
        </w:numPr>
      </w:pPr>
      <w:r>
        <w:rPr>
          <w:b/>
        </w:rPr>
        <w:t xml:space="preserve">Ćwiczenie: Produkty DSDM.</w:t>
      </w:r>
    </w:p>
    <w:p>
      <w:pPr>
        <w:pStyle w:val="Compact"/>
        <w:numPr>
          <w:numId w:val="1010"/>
          <w:ilvl w:val="0"/>
        </w:numPr>
      </w:pPr>
      <w:r>
        <w:rPr>
          <w:b/>
        </w:rPr>
        <w:t xml:space="preserve">Ćwiczenie: Kwestionariusz Podejścia do Projektu.</w:t>
      </w:r>
    </w:p>
    <w:p>
      <w:pPr>
        <w:pStyle w:val="Compact"/>
        <w:numPr>
          <w:numId w:val="1010"/>
          <w:ilvl w:val="0"/>
        </w:numPr>
      </w:pPr>
      <w:r>
        <w:rPr>
          <w:b/>
        </w:rPr>
        <w:t xml:space="preserve">Przykładowe egzaminy AgilePM®/BA® Foundation.</w:t>
      </w:r>
    </w:p>
    <w:p>
      <w:pPr>
        <w:pStyle w:val="FirstParagraph"/>
      </w:pPr>
      <w:r>
        <w:br w:type="textWrapping"/>
      </w:r>
      <w:r>
        <w:rPr>
          <w:b/>
        </w:rPr>
        <w:t xml:space="preserve">Dzień 3</w:t>
      </w:r>
    </w:p>
    <w:p>
      <w:pPr>
        <w:pStyle w:val="Compact"/>
        <w:numPr>
          <w:numId w:val="1017"/>
          <w:ilvl w:val="0"/>
        </w:numPr>
      </w:pPr>
      <w:r>
        <w:rPr>
          <w:b/>
        </w:rPr>
        <w:t xml:space="preserve">Szacowanie:</w:t>
      </w:r>
    </w:p>
    <w:p>
      <w:pPr>
        <w:pStyle w:val="Compact"/>
        <w:numPr>
          <w:numId w:val="1018"/>
          <w:ilvl w:val="1"/>
        </w:numPr>
      </w:pPr>
      <w:r>
        <w:t xml:space="preserve">czym jest szacowanie,</w:t>
      </w:r>
    </w:p>
    <w:p>
      <w:pPr>
        <w:pStyle w:val="Compact"/>
        <w:numPr>
          <w:numId w:val="1018"/>
          <w:ilvl w:val="1"/>
        </w:numPr>
      </w:pPr>
      <w:r>
        <w:t xml:space="preserve">szacowanie w Agile,</w:t>
      </w:r>
    </w:p>
    <w:p>
      <w:pPr>
        <w:pStyle w:val="Compact"/>
        <w:numPr>
          <w:numId w:val="1018"/>
          <w:ilvl w:val="1"/>
        </w:numPr>
      </w:pPr>
      <w:r>
        <w:t xml:space="preserve">szacowanie z góry i z dołu,</w:t>
      </w:r>
    </w:p>
    <w:p>
      <w:pPr>
        <w:pStyle w:val="Compact"/>
        <w:numPr>
          <w:numId w:val="1018"/>
          <w:ilvl w:val="1"/>
        </w:numPr>
      </w:pPr>
      <w:r>
        <w:t xml:space="preserve">poket do Planowania,</w:t>
      </w:r>
    </w:p>
    <w:p>
      <w:pPr>
        <w:pStyle w:val="Compact"/>
        <w:numPr>
          <w:numId w:val="1018"/>
          <w:ilvl w:val="1"/>
        </w:numPr>
      </w:pPr>
      <w:r>
        <w:t xml:space="preserve">szacowanie w cyklu życia DSDM.</w:t>
      </w:r>
    </w:p>
    <w:p>
      <w:pPr>
        <w:pStyle w:val="Compact"/>
        <w:numPr>
          <w:numId w:val="1017"/>
          <w:ilvl w:val="0"/>
        </w:numPr>
      </w:pPr>
      <w:r>
        <w:rPr>
          <w:b/>
        </w:rPr>
        <w:t xml:space="preserve">Ryzyko:</w:t>
      </w:r>
    </w:p>
    <w:p>
      <w:pPr>
        <w:pStyle w:val="Compact"/>
        <w:numPr>
          <w:numId w:val="1019"/>
          <w:ilvl w:val="1"/>
        </w:numPr>
      </w:pPr>
      <w:r>
        <w:t xml:space="preserve">proces zarządzania ryzykiem,</w:t>
      </w:r>
    </w:p>
    <w:p>
      <w:pPr>
        <w:pStyle w:val="Compact"/>
        <w:numPr>
          <w:numId w:val="1019"/>
          <w:ilvl w:val="1"/>
        </w:numPr>
      </w:pPr>
      <w:r>
        <w:t xml:space="preserve">ryzyka tradycyjne,</w:t>
      </w:r>
    </w:p>
    <w:p>
      <w:pPr>
        <w:pStyle w:val="Compact"/>
        <w:numPr>
          <w:numId w:val="1019"/>
          <w:ilvl w:val="1"/>
        </w:numPr>
      </w:pPr>
      <w:r>
        <w:t xml:space="preserve">ryzyka Agile,</w:t>
      </w:r>
    </w:p>
    <w:p>
      <w:pPr>
        <w:pStyle w:val="Compact"/>
        <w:numPr>
          <w:numId w:val="1019"/>
          <w:ilvl w:val="1"/>
        </w:numPr>
      </w:pPr>
      <w:r>
        <w:t xml:space="preserve">jak DSDM pomaga w łagodzeniu ryzyk,</w:t>
      </w:r>
    </w:p>
    <w:p>
      <w:pPr>
        <w:pStyle w:val="Compact"/>
        <w:numPr>
          <w:numId w:val="1019"/>
          <w:ilvl w:val="1"/>
        </w:numPr>
      </w:pPr>
      <w:r>
        <w:t xml:space="preserve">zarządzanie ryzykiem w cyklu zycia DSDM.</w:t>
      </w:r>
    </w:p>
    <w:p>
      <w:pPr>
        <w:pStyle w:val="Compact"/>
        <w:numPr>
          <w:numId w:val="1017"/>
          <w:ilvl w:val="0"/>
        </w:numPr>
      </w:pPr>
      <w:r>
        <w:rPr>
          <w:b/>
        </w:rPr>
        <w:t xml:space="preserve">Jakość:</w:t>
      </w:r>
    </w:p>
    <w:p>
      <w:pPr>
        <w:pStyle w:val="Compact"/>
        <w:numPr>
          <w:numId w:val="1020"/>
          <w:ilvl w:val="1"/>
        </w:numPr>
      </w:pPr>
      <w:r>
        <w:t xml:space="preserve">jakość Rozwiązania,</w:t>
      </w:r>
    </w:p>
    <w:p>
      <w:pPr>
        <w:pStyle w:val="Compact"/>
        <w:numPr>
          <w:numId w:val="1020"/>
          <w:ilvl w:val="1"/>
        </w:numPr>
      </w:pPr>
      <w:r>
        <w:t xml:space="preserve">jakość Procesu,</w:t>
      </w:r>
    </w:p>
    <w:p>
      <w:pPr>
        <w:pStyle w:val="Compact"/>
        <w:numPr>
          <w:numId w:val="1020"/>
          <w:ilvl w:val="1"/>
        </w:numPr>
      </w:pPr>
      <w:r>
        <w:t xml:space="preserve">koncepcje Utrzymywalności,</w:t>
      </w:r>
    </w:p>
    <w:p>
      <w:pPr>
        <w:pStyle w:val="Compact"/>
        <w:numPr>
          <w:numId w:val="1020"/>
          <w:ilvl w:val="1"/>
        </w:numPr>
      </w:pPr>
      <w:r>
        <w:t xml:space="preserve">zarządzanie jakością w cyklu życia DSDM.</w:t>
      </w:r>
    </w:p>
    <w:p>
      <w:pPr>
        <w:pStyle w:val="Compact"/>
        <w:numPr>
          <w:numId w:val="1017"/>
          <w:ilvl w:val="0"/>
        </w:numPr>
      </w:pPr>
      <w:r>
        <w:rPr>
          <w:b/>
        </w:rPr>
        <w:t xml:space="preserve">Ćwiczenie: Dopasuj do procesu DSDM.</w:t>
      </w:r>
    </w:p>
    <w:p>
      <w:pPr>
        <w:pStyle w:val="Compact"/>
        <w:numPr>
          <w:numId w:val="1017"/>
          <w:ilvl w:val="0"/>
        </w:numPr>
      </w:pPr>
      <w:r>
        <w:rPr>
          <w:b/>
        </w:rPr>
        <w:t xml:space="preserve">Warsztaty:</w:t>
      </w:r>
    </w:p>
    <w:p>
      <w:pPr>
        <w:pStyle w:val="Compact"/>
        <w:numPr>
          <w:numId w:val="1021"/>
          <w:ilvl w:val="1"/>
        </w:numPr>
      </w:pPr>
      <w:r>
        <w:t xml:space="preserve">koncepcja Warsztatu Facylitowanego,</w:t>
      </w:r>
    </w:p>
    <w:p>
      <w:pPr>
        <w:pStyle w:val="Compact"/>
        <w:numPr>
          <w:numId w:val="1021"/>
          <w:ilvl w:val="1"/>
        </w:numPr>
      </w:pPr>
      <w:r>
        <w:t xml:space="preserve">cechy Warsztatów Facylitowanych,</w:t>
      </w:r>
    </w:p>
    <w:p>
      <w:pPr>
        <w:pStyle w:val="Compact"/>
        <w:numPr>
          <w:numId w:val="1021"/>
          <w:ilvl w:val="1"/>
        </w:numPr>
      </w:pPr>
      <w:r>
        <w:t xml:space="preserve">czynniki Sukcesu dla Warsztatów Facylitowanych,</w:t>
      </w:r>
    </w:p>
    <w:p>
      <w:pPr>
        <w:pStyle w:val="Compact"/>
        <w:numPr>
          <w:numId w:val="1021"/>
          <w:ilvl w:val="1"/>
        </w:numPr>
      </w:pPr>
      <w:r>
        <w:t xml:space="preserve">role w Warsztacie Facylitowanym,</w:t>
      </w:r>
    </w:p>
    <w:p>
      <w:pPr>
        <w:pStyle w:val="Compact"/>
        <w:numPr>
          <w:numId w:val="1021"/>
          <w:ilvl w:val="1"/>
        </w:numPr>
      </w:pPr>
      <w:r>
        <w:t xml:space="preserve">warsztaty w cyklu życia DSDM.</w:t>
      </w:r>
    </w:p>
    <w:p>
      <w:pPr>
        <w:pStyle w:val="Compact"/>
        <w:numPr>
          <w:numId w:val="1017"/>
          <w:ilvl w:val="0"/>
        </w:numPr>
      </w:pPr>
      <w:r>
        <w:rPr>
          <w:b/>
        </w:rPr>
        <w:t xml:space="preserve">Modelowanie:</w:t>
      </w:r>
    </w:p>
    <w:p>
      <w:pPr>
        <w:pStyle w:val="Compact"/>
        <w:numPr>
          <w:numId w:val="1022"/>
          <w:ilvl w:val="1"/>
        </w:numPr>
      </w:pPr>
      <w:r>
        <w:t xml:space="preserve">dlaczego stosować modelowanie,</w:t>
      </w:r>
    </w:p>
    <w:p>
      <w:pPr>
        <w:pStyle w:val="Compact"/>
        <w:numPr>
          <w:numId w:val="1022"/>
          <w:ilvl w:val="1"/>
        </w:numPr>
      </w:pPr>
      <w:r>
        <w:t xml:space="preserve">modelowanie a Pryncypia DSDM,</w:t>
      </w:r>
    </w:p>
    <w:p>
      <w:pPr>
        <w:pStyle w:val="Compact"/>
        <w:numPr>
          <w:numId w:val="1022"/>
          <w:ilvl w:val="1"/>
        </w:numPr>
      </w:pPr>
      <w:r>
        <w:t xml:space="preserve">modelowanie „Jak jest” i „Jak ma być”,</w:t>
      </w:r>
    </w:p>
    <w:p>
      <w:pPr>
        <w:pStyle w:val="Compact"/>
        <w:numPr>
          <w:numId w:val="1022"/>
          <w:ilvl w:val="1"/>
        </w:numPr>
      </w:pPr>
      <w:r>
        <w:t xml:space="preserve">perspektywy modelowania,</w:t>
      </w:r>
    </w:p>
    <w:p>
      <w:pPr>
        <w:pStyle w:val="Compact"/>
        <w:numPr>
          <w:numId w:val="1022"/>
          <w:ilvl w:val="1"/>
        </w:numPr>
      </w:pPr>
      <w:r>
        <w:t xml:space="preserve">prototypowanie,</w:t>
      </w:r>
    </w:p>
    <w:p>
      <w:pPr>
        <w:pStyle w:val="Compact"/>
        <w:numPr>
          <w:numId w:val="1022"/>
          <w:ilvl w:val="1"/>
        </w:numPr>
      </w:pPr>
      <w:r>
        <w:t xml:space="preserve">przegląd modeli,</w:t>
      </w:r>
    </w:p>
    <w:p>
      <w:pPr>
        <w:pStyle w:val="Compact"/>
        <w:numPr>
          <w:numId w:val="1022"/>
          <w:ilvl w:val="1"/>
        </w:numPr>
      </w:pPr>
      <w:r>
        <w:t xml:space="preserve">modelowanie w cyklu życia DSDM.</w:t>
      </w:r>
    </w:p>
    <w:p>
      <w:pPr>
        <w:pStyle w:val="Compact"/>
        <w:numPr>
          <w:numId w:val="1017"/>
          <w:ilvl w:val="0"/>
        </w:numPr>
      </w:pPr>
      <w:r>
        <w:rPr>
          <w:b/>
        </w:rPr>
        <w:t xml:space="preserve">Podsumowanie szkolenia.</w:t>
      </w:r>
    </w:p>
    <w:p>
      <w:pPr>
        <w:pStyle w:val="Compact"/>
        <w:numPr>
          <w:numId w:val="1017"/>
          <w:ilvl w:val="0"/>
        </w:numPr>
      </w:pPr>
      <w:r>
        <w:rPr>
          <w:b/>
        </w:rPr>
        <w:t xml:space="preserve">Przykładowe egzaminy AgilePM®/BA® Foundation.</w:t>
      </w:r>
    </w:p>
    <w:p>
      <w:pPr>
        <w:pStyle w:val="FirstParagraph"/>
      </w:pPr>
      <w:r>
        <w:t xml:space="preserve"> </w:t>
      </w:r>
    </w:p>
    <w:p>
      <w:pPr>
        <w:pStyle w:val="Tekstpodstawowy"/>
      </w:pPr>
      <w:r>
        <w:t xml:space="preserve"> </w:t>
      </w:r>
    </w:p>
    <w:p>
      <w:pPr>
        <w:pStyle w:val="Tekstpodstawowy"/>
      </w:pPr>
      <w:r>
        <w:t xml:space="preserve">Uczestnicy, któzy zdecydowali się na zdawanie egzaminów otrzymują Voucher, któy mogą wykorzystać w dowolnym momencie przez okres roku. Egzamin </w:t>
      </w:r>
      <w:r>
        <w:rPr>
          <w:b/>
        </w:rPr>
        <w:t xml:space="preserve">AgilePM® Foundation </w:t>
      </w:r>
      <w:r>
        <w:t xml:space="preserve">trwa 40 minut i składa się z 50 pytań. Do zdania egzmainu wymagane jest uzyskanie 50% punktów.Analogicznie sytuacja wygląda w przypadku </w:t>
      </w:r>
      <w:r>
        <w:rPr>
          <w:b/>
        </w:rPr>
        <w:t xml:space="preserve">AgileBA® Foundation</w:t>
      </w:r>
      <w:r>
        <w:t xml:space="preserve"> </w:t>
      </w:r>
      <w:r>
        <w:t xml:space="preserve"> Uczestnik podczas zamawiania egzaminu może zdecydować w jakim jezyku chce zdawać egzamin. Certyfikat AgilePM® Foundation oraz AgileBA® Foundation przyznawane są bezterminowo.</w:t>
      </w:r>
    </w:p>
    <w:p>
      <w:pPr>
        <w:pStyle w:val="Tekstpodstawowy"/>
      </w:pPr>
      <w:r>
        <w:t xml:space="preserve"> </w:t>
      </w:r>
    </w:p>
    <w:p>
      <w:pPr>
        <w:pStyle w:val="Tekstpodstawowy"/>
      </w:pPr>
      <w:r>
        <w:t xml:space="preserve"> </w:t>
      </w:r>
    </w:p>
    <w:p>
      <w:pPr>
        <w:pStyle w:val="Tekstpodstawowy"/>
      </w:pPr>
      <w:r>
        <w:rPr>
          <w:i/>
        </w:rPr>
        <w:t xml:space="preserve">AgilePM® i AgileBA® są zarejestrowanymi znakami handlowymi Agile Business Consortium.</w:t>
      </w:r>
      <w:r>
        <w:br w:type="textWrapping"/>
      </w:r>
      <w:r>
        <w:rPr>
          <w:i/>
        </w:rPr>
        <w:t xml:space="preserve">Logo The APMG-International Swirl AgilePM i AgileBA są znakami handlowymi APM Group Limited.</w:t>
      </w:r>
    </w:p>
    <w:p>
      <w:pPr>
        <w:pStyle w:val="Tekstpodstawowy"/>
      </w:pPr>
      <w:r>
        <w:t xml:space="preserve"> </w:t>
      </w:r>
    </w:p>
    <w:p>
      <w:pPr>
        <w:pStyle w:val="Nagwek1"/>
      </w:pPr>
      <w:bookmarkStart w:id="28" w:name="koszt-inwestycji"/>
      <w:r>
        <w:t xml:space="preserve">Koszt inwestycji</w:t>
      </w:r>
      <w:bookmarkEnd w:id="28"/>
    </w:p>
    <w:p>
      <w:pPr>
        <w:pStyle w:val="FirstParagraph"/>
      </w:pPr>
      <w:r>
        <w:t xml:space="preserve">Przy zgłoszeniu do 27 listopada 2020r. obowiązuje cena 950 zł. Po tym terminie koszt wynosi 950 zł. </w:t>
      </w:r>
    </w:p>
    <w:p>
      <w:pPr>
        <w:pStyle w:val="Tekstpodstawowy"/>
      </w:pPr>
      <w:r>
        <w:t xml:space="preserve">Cena dotyczy jednej osoby i zawiera: udział w szkoleniu, materiały szkoleniowe, obiad, przerwy kawowe, certyfikat ukończenia szkolenia.</w:t>
      </w:r>
    </w:p>
    <w:p>
      <w:pPr>
        <w:pStyle w:val="Tekstpodstawowy"/>
      </w:pPr>
      <w:r>
        <w:t xml:space="preserve">Do podanej powyżej kwoty zostanie doliczony VAT w wysokości 23%.</w:t>
      </w:r>
    </w:p>
    <w:p>
      <w:pPr>
        <w:pStyle w:val="Tekstpodstawowy"/>
      </w:pPr>
      <w:r>
        <w:t xml:space="preserve">Dla instytucji budżetowych i pozostałych firm, które szkolenie finansują w ponad 70% z środków publicznych, istnieje możliwość wystawienia faktury VAT bez podatku VAT (ze stawką zwolnioną).</w:t>
      </w:r>
    </w:p>
    <w:p>
      <w:pPr>
        <w:pStyle w:val="Tekstpodstawowy"/>
      </w:pPr>
      <w:r>
        <w:t xml:space="preserve">Aby uzyskać taką fakturę należy:</w:t>
      </w:r>
    </w:p>
    <w:p>
      <w:pPr>
        <w:pStyle w:val="Compact"/>
        <w:numPr>
          <w:numId w:val="1023"/>
          <w:ilvl w:val="0"/>
        </w:numPr>
      </w:pPr>
      <w:r>
        <w:t xml:space="preserve">pokryć koszt szkolenia w przynajmniej 70% z środków publicznych,</w:t>
      </w:r>
    </w:p>
    <w:p>
      <w:pPr>
        <w:pStyle w:val="Compact"/>
        <w:numPr>
          <w:numId w:val="1023"/>
          <w:ilvl w:val="0"/>
        </w:numPr>
      </w:pPr>
      <w:r>
        <w:t xml:space="preserve">przesłać do nas podpisane oświadczenie o finansowaniu usługi szkoleniowej ze środków publicznych.</w:t>
      </w:r>
    </w:p>
    <w:p>
      <w:pPr>
        <w:pStyle w:val="FirstParagraph"/>
      </w:pPr>
      <w:hyperlink r:id="rId29">
        <w:r>
          <w:rPr>
            <w:rStyle w:val="Hipercze"/>
          </w:rPr>
          <w:t xml:space="preserve">Wzór oświadczenia do pobrania</w:t>
        </w:r>
      </w:hyperlink>
    </w:p>
    <w:p>
      <w:pPr>
        <w:pStyle w:val="Nagwek1"/>
      </w:pPr>
      <w:bookmarkStart w:id="30" w:name="informacje-dodatkowe"/>
      <w:r>
        <w:t xml:space="preserve">Informacje dodatkowe</w:t>
      </w:r>
      <w:bookmarkEnd w:id="30"/>
    </w:p>
    <w:p>
      <w:pPr>
        <w:pStyle w:val="Compact"/>
        <w:numPr>
          <w:numId w:val="1024"/>
          <w:ilvl w:val="0"/>
        </w:numPr>
      </w:pPr>
      <w:r>
        <w:rPr>
          <w:b/>
        </w:rPr>
        <w:t xml:space="preserve">Formuła szkolenia online</w:t>
      </w:r>
    </w:p>
    <w:p>
      <w:pPr>
        <w:pStyle w:val="FirstParagraph"/>
      </w:pPr>
      <w:r>
        <w:t xml:space="preserve">Szkolenie realizowane jest w formule online. Uczestnicy za pośrednictwem wygenerowanego przez trenera zaproszenia online, dołączają się do wirtualnej sali. Przebieg szkolenia jest bardzo zbliżony do szkolenia stacjonarnego. Uczestnicy mogą zadawać trenerowi pytania, dzięki czemu tzachowana jest pełna interaktywność. Po zakończeniu szkolenia, uczestnicy, którzy zdecydowali się na zdawanie egzaminów, będą w nich uczestniczyli także w formule online na platformie instytutu egzaminacyjnego. Podczas trwania szkolenia, mają Państwo zapewnioną obsługę techniczną, gdyby wystąpiły jakiekolwiek problemy. Wszystkie materiały szkoleniowe (pracę przed kursem oraz specjalnie przygotowaną przez ekspertów książke, która jest sukcesywnie przerabiana podczas szkolenia online) otrzymują Państwo w postaci pliku PDF. Istnieje możliwość zamówienia ksiażki w formie papierowej za dodatkową opłatą (patrz. dodatki do szkolenia). Szkolenie występuje także w formie stacjonarnej. Zapraszamy do zapoznania się z dostępnymi terminami na stronie  </w:t>
      </w:r>
      <w:hyperlink r:id="rId31">
        <w:r>
          <w:rPr>
            <w:rStyle w:val="Hipercze"/>
          </w:rPr>
          <w:t xml:space="preserve">Stacjonarne szkolenie AgilePM &amp; AgileBA Foundation</w:t>
        </w:r>
      </w:hyperlink>
    </w:p>
    <w:p>
      <w:pPr>
        <w:pStyle w:val="Compact"/>
        <w:numPr>
          <w:numId w:val="1025"/>
          <w:ilvl w:val="0"/>
        </w:numPr>
      </w:pPr>
      <w:r>
        <w:rPr>
          <w:b/>
        </w:rPr>
        <w:t xml:space="preserve">Egzamin</w:t>
      </w:r>
    </w:p>
    <w:p>
      <w:pPr>
        <w:pStyle w:val="FirstParagraph"/>
      </w:pPr>
      <w:r>
        <w:t xml:space="preserve">• W przypadku zdecydowania się na zdawanie międzynarodowego egzaminu w celu uzyskania certyfikatu AgilePM® Foundation lub/i AgileBA® Foundation należy doliczyć kwoty egzaminacyjne (opłacane do międzynarodowego właściciela metodyk Agile – APMG).</w:t>
      </w:r>
      <w:r>
        <w:t xml:space="preserve"> </w:t>
      </w:r>
      <w:r>
        <w:rPr>
          <w:b/>
        </w:rPr>
        <w:t xml:space="preserve">Kwoty za egzamin są dodatkowe i wynoszą 750 zł netto za AgilePM® i 750 zł netto za AgileBA®. </w:t>
      </w:r>
      <w:r>
        <w:t xml:space="preserve">Przy rejestracji należy zaznaczyć, które egzaminy chce się zdawać - wartość zamówienia zostanie automatycznie zwiększona o wartość egzaminu</w:t>
      </w:r>
      <w:r>
        <w:br w:type="textWrapping"/>
      </w:r>
      <w:r>
        <w:t xml:space="preserve">• Każdy uczestnik może zdecydować czy i jakie chce zdawać egzaminy. Można zdawać sam AgilePM® Foundation, sam AgileBA® Foundation lub oba jednocześnie.</w:t>
      </w:r>
    </w:p>
    <w:p>
      <w:pPr>
        <w:pStyle w:val="Compact"/>
        <w:numPr>
          <w:numId w:val="1026"/>
          <w:ilvl w:val="0"/>
        </w:numPr>
      </w:pPr>
      <w:r>
        <w:rPr>
          <w:b/>
        </w:rPr>
        <w:t xml:space="preserve">PDU (Professional Development Units)</w:t>
      </w:r>
    </w:p>
    <w:p>
      <w:pPr>
        <w:pStyle w:val="FirstParagraph"/>
      </w:pPr>
      <w:r>
        <w:t xml:space="preserve">Uczestnicy szkolenia, w momencie jego ukończenia, otrzymują (Professional Development Units):  </w:t>
      </w:r>
      <w:r>
        <w:rPr>
          <w:b/>
        </w:rPr>
        <w:t xml:space="preserve">30 punktów PDU  </w:t>
      </w:r>
    </w:p>
    <w:p>
      <w:pPr>
        <w:pStyle w:val="Tekstpodstawowy"/>
      </w:pPr>
      <w:r>
        <w:t xml:space="preserve">Progress Project jest w gronie PMI R.E.P. </w:t>
      </w:r>
      <w:r>
        <w:rPr>
          <w:b/>
        </w:rPr>
        <w:t xml:space="preserve">Registered</w:t>
      </w:r>
      <w:r>
        <w:t xml:space="preserve"> </w:t>
      </w:r>
      <w:r>
        <w:rPr>
          <w:b/>
        </w:rPr>
        <w:t xml:space="preserve">Education Provide</w:t>
      </w:r>
      <w:r>
        <w:t xml:space="preserve">.</w:t>
      </w:r>
      <w:r>
        <w:rPr>
          <w:b/>
        </w:rPr>
        <w:t xml:space="preserve"> </w:t>
      </w:r>
      <w:r>
        <w:t xml:space="preserve">Jesteśmy organizacją o statusie R.E.P.s sprawdzoną i zatwierdzoną jako dostawcy szkoleń z zarządzania projektami przez Project Management Institute (PMI). </w:t>
      </w:r>
      <w:r>
        <w:br w:type="textWrapping"/>
      </w:r>
      <w:r>
        <w:t xml:space="preserve">Link do katalogu PMI: https://ccrs.pmi.org/search/provider/1000004925</w:t>
      </w:r>
    </w:p>
    <w:p>
      <w:pPr>
        <w:pStyle w:val="Tekstpodstawowy"/>
      </w:pPr>
      <w:r>
        <w:t xml:space="preserve">Posiadacze tytułu PMP® muszą udokumentować zdobycie 60 punktów PDU w ciągu trzech lat od daty otrzymania dyplomu, aby zachować tytuł.</w:t>
      </w:r>
    </w:p>
    <w:p>
      <w:pPr>
        <w:pStyle w:val="Nagwek1"/>
      </w:pPr>
      <w:bookmarkStart w:id="32" w:name="kontakt"/>
      <w:r>
        <w:t xml:space="preserve">Kontakt</w:t>
      </w:r>
      <w:bookmarkEnd w:id="32"/>
    </w:p>
    <w:p>
      <w:pPr>
        <w:pStyle w:val="FirstParagraph"/>
      </w:pPr>
      <w:r>
        <w:t xml:space="preserve">Zapraszamy do kontaktu,</w:t>
      </w:r>
      <w:r>
        <w:br w:type="textWrapping"/>
      </w:r>
      <w:r>
        <w:rPr>
          <w:b/>
        </w:rPr>
        <w:t xml:space="preserve">Progress Project Sp. z o.o.</w:t>
      </w:r>
      <w:r>
        <w:br w:type="textWrapping"/>
      </w:r>
      <w:r>
        <w:t xml:space="preserve">ul. Światowa 22</w:t>
      </w:r>
      <w:r>
        <w:br w:type="textWrapping"/>
      </w:r>
      <w:r>
        <w:t xml:space="preserve">02-229 Warszawa</w:t>
      </w:r>
      <w:r>
        <w:br w:type="textWrapping"/>
      </w:r>
      <w:r>
        <w:t xml:space="preserve">tel.: 22 460 46 00</w:t>
      </w:r>
      <w:r>
        <w:br w:type="textWrapping"/>
      </w:r>
      <w:r>
        <w:t xml:space="preserve">fax: 22 460 46 04</w:t>
      </w:r>
      <w:r>
        <w:br w:type="textWrapping"/>
      </w:r>
      <w:r>
        <w:t xml:space="preserve">email:</w:t>
      </w:r>
      <w:r>
        <w:t xml:space="preserve"> </w:t>
      </w:r>
      <w:hyperlink r:id="rId33">
        <w:r>
          <w:rPr>
            <w:rStyle w:val="Hipercze"/>
          </w:rPr>
          <w:t xml:space="preserve">[email protected]</w:t>
        </w:r>
      </w:hyperlink>
      <w:r>
        <w:br w:type="textWrapping"/>
      </w:r>
      <w:r>
        <w:t xml:space="preserve">www.progressproject.pl</w:t>
      </w:r>
      <w:r>
        <w:br w:type="textWrapping"/>
      </w:r>
    </w:p>
    <w:sectPr w:rsidR="00E81404" w:rsidSect="00583B03">
      <w:headerReference w:type="default" r:id="rId9"/>
      <w:footerReference w:type="default" r:id="rId10"/>
      <w:pgSz w:w="11906" w:h="16838"/>
      <w:pgMar w:top="1417" w:right="1417" w:bottom="1417" w:left="1417" w:header="0" w:footer="708" w:gutter="0"/>
      <w:cols w:space="708"/>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2024016"/>
      <w:docPartObj>
        <w:docPartGallery w:val="Page Numbers (Bottom of Page)"/>
        <w:docPartUnique/>
      </w:docPartObj>
    </w:sdtPr>
    <w:sdtEndPr/>
    <w:sdtContent>
      <w:p w14:paraId="47BAF528" w14:textId="77777777" w:rsidR="00583B03" w:rsidRDefault="00583B03">
        <w:pPr>
          <w:pStyle w:val="Stopka"/>
          <w:jc w:val="right"/>
        </w:pPr>
        <w:r>
          <w:fldChar w:fldCharType="begin"/>
        </w:r>
        <w:r>
          <w:instrText>PAGE   \* MERGEFORMAT</w:instrText>
        </w:r>
        <w:r>
          <w:fldChar w:fldCharType="separate"/>
        </w:r>
        <w:r w:rsidR="00B6729F" w:rsidRPr="00B6729F">
          <w:rPr>
            <w:noProof/>
            <w:lang w:val="pl-PL"/>
          </w:rPr>
          <w:t>7</w:t>
        </w:r>
        <w:r>
          <w:fldChar w:fldCharType="end"/>
        </w:r>
      </w:p>
    </w:sdtContent>
  </w:sdt>
  <w:p w14:paraId="6A5BD3E6" w14:textId="20831C2E" w:rsidR="00583B03" w:rsidRDefault="00583B03">
    <w:pPr>
      <w:pStyle w:val="Stopka"/>
    </w:pPr>
    <w:proofErr w:type="spellStart"/>
    <w:r>
      <w:rPr>
        <w:rFonts w:ascii="Segoe UI" w:hAnsi="Segoe UI" w:cs="Segoe UI"/>
        <w:color w:val="636C72"/>
        <w:sz w:val="17"/>
        <w:szCs w:val="17"/>
        <w:shd w:val="clear" w:color="auto" w:fill="FFFFFF"/>
      </w:rPr>
      <w:t>Organizator</w:t>
    </w:r>
    <w:proofErr w:type="spellEnd"/>
    <w:r>
      <w:rPr>
        <w:rFonts w:ascii="Segoe UI" w:hAnsi="Segoe UI" w:cs="Segoe UI"/>
        <w:color w:val="636C72"/>
        <w:sz w:val="17"/>
        <w:szCs w:val="17"/>
        <w:shd w:val="clear" w:color="auto" w:fill="FFFFFF"/>
      </w:rPr>
      <w:t>: </w:t>
    </w:r>
    <w:r>
      <w:rPr>
        <w:rFonts w:ascii="Segoe UI" w:hAnsi="Segoe UI" w:cs="Segoe UI"/>
        <w:b/>
        <w:bCs/>
        <w:color w:val="636C72"/>
        <w:sz w:val="17"/>
        <w:szCs w:val="17"/>
        <w:shd w:val="clear" w:color="auto" w:fill="FFFFFF"/>
      </w:rPr>
      <w:t xml:space="preserve">Progress Project Sp. z </w:t>
    </w:r>
    <w:proofErr w:type="spellStart"/>
    <w:r>
      <w:rPr>
        <w:rFonts w:ascii="Segoe UI" w:hAnsi="Segoe UI" w:cs="Segoe UI"/>
        <w:b/>
        <w:bCs/>
        <w:color w:val="636C72"/>
        <w:sz w:val="17"/>
        <w:szCs w:val="17"/>
        <w:shd w:val="clear" w:color="auto" w:fill="FFFFFF"/>
      </w:rPr>
      <w:t>o.o</w:t>
    </w:r>
    <w:proofErr w:type="spellEnd"/>
    <w:r>
      <w:rPr>
        <w:rFonts w:ascii="Segoe UI" w:hAnsi="Segoe UI" w:cs="Segoe UI"/>
        <w:b/>
        <w:bCs/>
        <w:color w:val="636C72"/>
        <w:sz w:val="17"/>
        <w:szCs w:val="17"/>
        <w:shd w:val="clear" w:color="auto" w:fill="FFFFFF"/>
      </w:rPr>
      <w:t>.</w:t>
    </w:r>
    <w:r>
      <w:rPr>
        <w:rFonts w:ascii="Segoe UI" w:hAnsi="Segoe UI" w:cs="Segoe UI"/>
        <w:color w:val="636C72"/>
        <w:sz w:val="17"/>
        <w:szCs w:val="17"/>
      </w:rPr>
      <w:br/>
    </w:r>
    <w:r>
      <w:rPr>
        <w:rFonts w:ascii="Segoe UI" w:hAnsi="Segoe UI" w:cs="Segoe UI"/>
        <w:color w:val="636C72"/>
        <w:sz w:val="17"/>
        <w:szCs w:val="17"/>
        <w:shd w:val="clear" w:color="auto" w:fill="FFFFFF"/>
      </w:rPr>
      <w:t xml:space="preserve">ul. </w:t>
    </w:r>
    <w:proofErr w:type="spellStart"/>
    <w:r>
      <w:rPr>
        <w:rFonts w:ascii="Segoe UI" w:hAnsi="Segoe UI" w:cs="Segoe UI"/>
        <w:color w:val="636C72"/>
        <w:sz w:val="17"/>
        <w:szCs w:val="17"/>
        <w:shd w:val="clear" w:color="auto" w:fill="FFFFFF"/>
      </w:rPr>
      <w:t>Światowa</w:t>
    </w:r>
    <w:proofErr w:type="spellEnd"/>
    <w:r>
      <w:rPr>
        <w:rFonts w:ascii="Segoe UI" w:hAnsi="Segoe UI" w:cs="Segoe UI"/>
        <w:color w:val="636C72"/>
        <w:sz w:val="17"/>
        <w:szCs w:val="17"/>
        <w:shd w:val="clear" w:color="auto" w:fill="FFFFFF"/>
      </w:rPr>
      <w:t xml:space="preserve"> 22, 02-229 Warszawa NIP: 525-238-26-47 Tel. 22 460 46 0</w:t>
    </w:r>
    <w:r w:rsidR="004A1517">
      <w:rPr>
        <w:rFonts w:ascii="Segoe UI" w:hAnsi="Segoe UI" w:cs="Segoe UI"/>
        <w:color w:val="636C72"/>
        <w:sz w:val="17"/>
        <w:szCs w:val="17"/>
        <w:shd w:val="clear" w:color="auto" w:fill="FFFFFF"/>
      </w:rPr>
      <w:t>0</w:t>
    </w:r>
    <w:r>
      <w:rPr>
        <w:rFonts w:ascii="Segoe UI" w:hAnsi="Segoe UI" w:cs="Segoe UI"/>
        <w:color w:val="636C72"/>
        <w:sz w:val="17"/>
        <w:szCs w:val="17"/>
        <w:shd w:val="clear" w:color="auto" w:fill="FFFFFF"/>
      </w:rPr>
      <w:t xml:space="preserve"> Fax. 22 460 46 04</w:t>
    </w:r>
    <w:r>
      <w:rPr>
        <w:rFonts w:ascii="Segoe UI" w:hAnsi="Segoe UI" w:cs="Segoe UI"/>
        <w:color w:val="636C72"/>
        <w:sz w:val="17"/>
        <w:szCs w:val="17"/>
      </w:rPr>
      <w:br/>
    </w:r>
    <w:r>
      <w:rPr>
        <w:rFonts w:ascii="Segoe UI" w:hAnsi="Segoe UI" w:cs="Segoe UI"/>
        <w:color w:val="636C72"/>
        <w:sz w:val="17"/>
        <w:szCs w:val="17"/>
        <w:shd w:val="clear" w:color="auto" w:fill="FFFFFF"/>
      </w:rPr>
      <w:t xml:space="preserve">Nr </w:t>
    </w:r>
    <w:proofErr w:type="spellStart"/>
    <w:r>
      <w:rPr>
        <w:rFonts w:ascii="Segoe UI" w:hAnsi="Segoe UI" w:cs="Segoe UI"/>
        <w:color w:val="636C72"/>
        <w:sz w:val="17"/>
        <w:szCs w:val="17"/>
        <w:shd w:val="clear" w:color="auto" w:fill="FFFFFF"/>
      </w:rPr>
      <w:t>konta</w:t>
    </w:r>
    <w:proofErr w:type="spellEnd"/>
    <w:r>
      <w:rPr>
        <w:rFonts w:ascii="Segoe UI" w:hAnsi="Segoe UI" w:cs="Segoe UI"/>
        <w:color w:val="636C72"/>
        <w:sz w:val="17"/>
        <w:szCs w:val="17"/>
        <w:shd w:val="clear" w:color="auto" w:fill="FFFFFF"/>
      </w:rPr>
      <w:t>: </w:t>
    </w:r>
    <w:r>
      <w:rPr>
        <w:rFonts w:ascii="Segoe UI" w:hAnsi="Segoe UI" w:cs="Segoe UI"/>
        <w:b/>
        <w:bCs/>
        <w:color w:val="636C72"/>
        <w:sz w:val="17"/>
        <w:szCs w:val="17"/>
        <w:shd w:val="clear" w:color="auto" w:fill="FFFFFF"/>
      </w:rPr>
      <w:t>36 1030 0019 0109 8530 0047 0604</w:t>
    </w:r>
    <w:r>
      <w:rPr>
        <w:rFonts w:ascii="Segoe UI" w:hAnsi="Segoe UI" w:cs="Segoe UI"/>
        <w:color w:val="636C72"/>
        <w:sz w:val="17"/>
        <w:szCs w:val="17"/>
        <w:shd w:val="clear" w:color="auto" w:fill="FFFFFF"/>
      </w:rPr>
      <w:t> www.progressproject.pl biuro@progressproject.pl</w:t>
    </w:r>
    <w:r>
      <w:rPr>
        <w:rFonts w:ascii="Segoe UI" w:hAnsi="Segoe UI" w:cs="Segoe UI"/>
        <w:color w:val="636C72"/>
        <w:sz w:val="17"/>
        <w:szCs w:val="17"/>
      </w:rPr>
      <w:br/>
    </w:r>
    <w:r w:rsidR="00B6729F" w:rsidRPr="00B6729F">
      <w:rPr>
        <w:rFonts w:ascii="Segoe UI" w:hAnsi="Segoe UI" w:cs="Segoe UI"/>
        <w:color w:val="636C72"/>
        <w:sz w:val="13"/>
        <w:szCs w:val="13"/>
        <w:shd w:val="clear" w:color="auto" w:fill="FFFFFF"/>
      </w:rPr>
      <w:t xml:space="preserve">Copyright 2017 by Progress Project Sp. z </w:t>
    </w:r>
    <w:proofErr w:type="spellStart"/>
    <w:r w:rsidR="00B6729F" w:rsidRPr="00B6729F">
      <w:rPr>
        <w:rFonts w:ascii="Segoe UI" w:hAnsi="Segoe UI" w:cs="Segoe UI"/>
        <w:color w:val="636C72"/>
        <w:sz w:val="13"/>
        <w:szCs w:val="13"/>
        <w:shd w:val="clear" w:color="auto" w:fill="FFFFFF"/>
      </w:rPr>
      <w:t>o.o</w:t>
    </w:r>
    <w:proofErr w:type="spellEnd"/>
    <w:r w:rsidR="00B6729F" w:rsidRPr="00B6729F">
      <w:rPr>
        <w:rFonts w:ascii="Segoe UI" w:hAnsi="Segoe UI" w:cs="Segoe UI"/>
        <w:color w:val="636C72"/>
        <w:sz w:val="13"/>
        <w:szCs w:val="13"/>
        <w:shd w:val="clear" w:color="auto" w:fill="FFFFFF"/>
      </w:rPr>
      <w:t xml:space="preserve">. All Rights </w:t>
    </w:r>
    <w:proofErr w:type="spellStart"/>
    <w:r w:rsidR="00B6729F" w:rsidRPr="00B6729F">
      <w:rPr>
        <w:rFonts w:ascii="Segoe UI" w:hAnsi="Segoe UI" w:cs="Segoe UI"/>
        <w:color w:val="636C72"/>
        <w:sz w:val="13"/>
        <w:szCs w:val="13"/>
        <w:shd w:val="clear" w:color="auto" w:fill="FFFFFF"/>
      </w:rPr>
      <w:t>Reserverd</w:t>
    </w:r>
    <w:proofErr w:type="spellEnd"/>
    <w:r w:rsidR="00B6729F" w:rsidRPr="00B6729F">
      <w:rPr>
        <w:rFonts w:ascii="Segoe UI" w:hAnsi="Segoe UI" w:cs="Segoe UI"/>
        <w:color w:val="636C72"/>
        <w:sz w:val="13"/>
        <w:szCs w:val="13"/>
        <w:shd w:val="clear" w:color="auto" w:fill="FFFFFF"/>
      </w:rPr>
      <w:t>.</w:t>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A7A45" w14:textId="77777777" w:rsidR="00583B03" w:rsidRDefault="00583B03" w:rsidP="00583B03">
    <w:pPr>
      <w:pStyle w:val="Nagwek"/>
      <w:ind w:left="-426"/>
    </w:pPr>
    <w:r>
      <w:rPr>
        <w:noProof/>
      </w:rPr>
      <w:drawing>
        <wp:inline distT="0" distB="0" distL="0" distR="0" wp14:anchorId="6A9503D0" wp14:editId="71C02564">
          <wp:extent cx="1954800" cy="915121"/>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P_www.jpg"/>
                  <pic:cNvPicPr/>
                </pic:nvPicPr>
                <pic:blipFill>
                  <a:blip r:embed="rId1">
                    <a:extLst>
                      <a:ext uri="{28A0092B-C50C-407E-A947-70E740481C1C}">
                        <a14:useLocalDpi xmlns:a14="http://schemas.microsoft.com/office/drawing/2010/main" val="0"/>
                      </a:ext>
                    </a:extLst>
                  </a:blip>
                  <a:stretch>
                    <a:fillRect/>
                  </a:stretch>
                </pic:blipFill>
                <pic:spPr>
                  <a:xfrm>
                    <a:off x="0" y="0"/>
                    <a:ext cx="1954800" cy="915121"/>
                  </a:xfrm>
                  <a:prstGeom prst="rect">
                    <a:avLst/>
                  </a:prstGeom>
                  <a:ln>
                    <a:noFill/>
                  </a:ln>
                  <a:effectLst>
                    <a:softEdge rad="112500"/>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993198B"/>
    <w:multiLevelType w:val="multilevel"/>
    <w:tmpl w:val="A8AC45F4"/>
    <w:lvl w:ilvl="0">
      <w:start w:val="1"/>
      <w:numFmt w:val="decimal"/>
      <w:lvlText w:val="%1."/>
      <w:lvlJc w:val="left"/>
      <w:pPr>
        <w:tabs>
          <w:tab w:val="num" w:pos="0"/>
        </w:tabs>
        <w:ind w:left="480" w:hanging="480"/>
      </w:pPr>
      <w:rPr>
        <w:rFonts w:hint="default"/>
      </w:rPr>
    </w:lvl>
    <w:lvl w:ilvl="1">
      <w:start w:val="1"/>
      <w:numFmt w:val="decimal"/>
      <w:lvlText w:val="%2."/>
      <w:lvlJc w:val="left"/>
      <w:pPr>
        <w:tabs>
          <w:tab w:val="num" w:pos="720"/>
        </w:tabs>
        <w:ind w:left="1200" w:hanging="480"/>
      </w:pPr>
      <w:rPr>
        <w:rFonts w:hint="default"/>
      </w:rPr>
    </w:lvl>
    <w:lvl w:ilvl="2">
      <w:start w:val="1"/>
      <w:numFmt w:val="lowerLetter"/>
      <w:lvlText w:val="%3."/>
      <w:lvlJc w:val="left"/>
      <w:pPr>
        <w:tabs>
          <w:tab w:val="num" w:pos="1440"/>
        </w:tabs>
        <w:ind w:left="1920" w:hanging="480"/>
      </w:pPr>
      <w:rPr>
        <w:rFonts w:hint="default"/>
      </w:rPr>
    </w:lvl>
    <w:lvl w:ilvl="3">
      <w:start w:val="1"/>
      <w:numFmt w:val="lowerRoman"/>
      <w:lvlText w:val="%4."/>
      <w:lvlJc w:val="left"/>
      <w:pPr>
        <w:tabs>
          <w:tab w:val="num" w:pos="2160"/>
        </w:tabs>
        <w:ind w:left="2640" w:hanging="480"/>
      </w:pPr>
      <w:rPr>
        <w:rFonts w:hint="default"/>
      </w:rPr>
    </w:lvl>
    <w:lvl w:ilvl="4">
      <w:start w:val="1"/>
      <w:numFmt w:val="decimal"/>
      <w:lvlText w:val="%5."/>
      <w:lvlJc w:val="left"/>
      <w:pPr>
        <w:tabs>
          <w:tab w:val="num" w:pos="2880"/>
        </w:tabs>
        <w:ind w:left="3360" w:hanging="480"/>
      </w:pPr>
      <w:rPr>
        <w:rFonts w:hint="default"/>
      </w:rPr>
    </w:lvl>
    <w:lvl w:ilvl="5">
      <w:start w:val="1"/>
      <w:numFmt w:val="lowerLetter"/>
      <w:lvlText w:val="%6."/>
      <w:lvlJc w:val="left"/>
      <w:pPr>
        <w:tabs>
          <w:tab w:val="num" w:pos="3600"/>
        </w:tabs>
        <w:ind w:left="4080" w:hanging="480"/>
      </w:pPr>
      <w:rPr>
        <w:rFonts w:hint="default"/>
      </w:rPr>
    </w:lvl>
    <w:lvl w:ilvl="6">
      <w:start w:val="1"/>
      <w:numFmt w:val="lowerRoman"/>
      <w:lvlText w:val="%7."/>
      <w:lvlJc w:val="left"/>
      <w:pPr>
        <w:tabs>
          <w:tab w:val="num" w:pos="4320"/>
        </w:tabs>
        <w:ind w:left="4800" w:hanging="480"/>
      </w:pPr>
      <w:rPr>
        <w:rFonts w:hint="default"/>
      </w:rPr>
    </w:lvl>
    <w:lvl w:ilvl="7">
      <w:start w:val="1"/>
      <w:numFmt w:val="decimal"/>
      <w:lvlText w:val="%8."/>
      <w:lvlJc w:val="left"/>
      <w:pPr>
        <w:tabs>
          <w:tab w:val="num" w:pos="5040"/>
        </w:tabs>
        <w:ind w:left="5520" w:hanging="480"/>
      </w:pPr>
      <w:rPr>
        <w:rFonts w:hint="default"/>
      </w:rPr>
    </w:lvl>
    <w:lvl w:ilvl="8">
      <w:start w:val="1"/>
      <w:numFmt w:val="lowerLetter"/>
      <w:lvlText w:val="%9."/>
      <w:lvlJc w:val="left"/>
      <w:pPr>
        <w:tabs>
          <w:tab w:val="num" w:pos="5760"/>
        </w:tabs>
        <w:ind w:left="6240" w:hanging="480"/>
      </w:pPr>
      <w:rPr>
        <w:rFonts w:hint="default"/>
      </w:rPr>
    </w:lvl>
  </w:abstractNum>
  <w:abstractNum w:abstractNumId="1" w15:restartNumberingAfterBreak="0">
    <w:nsid w:val="E94252CD"/>
    <w:multiLevelType w:val="multilevel"/>
    <w:tmpl w:val="3AD214B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FFFFFF7C"/>
    <w:multiLevelType w:val="singleLevel"/>
    <w:tmpl w:val="D9ECAD3A"/>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DA4E8C0E"/>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DA683F66"/>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B0506214"/>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A9968E76"/>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401AA0B4"/>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B6F42008"/>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C338C3B2"/>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0D0CDFAA"/>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12AA887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4A02E52"/>
    <w:multiLevelType w:val="multilevel"/>
    <w:tmpl w:val="06E24AF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0">
    <w:nsid w:val="1bb1280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f70f03e2"/>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bc01eec6"/>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
  </w:num>
  <w:num w:numId="2">
    <w:abstractNumId w:val="12"/>
  </w:num>
  <w:num w:numId="3">
    <w:abstractNumId w:val="12"/>
  </w:num>
  <w:num w:numId="4">
    <w:abstractNumId w:val="12"/>
  </w:num>
  <w:num w:numId="5">
    <w:abstractNumId w:val="0"/>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0"/>
  </w:num>
  <w:num w:numId="21">
    <w:abstractNumId w:val="5"/>
  </w:num>
  <w:num w:numId="22">
    <w:abstractNumId w:val="4"/>
  </w:num>
  <w:num w:numId="23">
    <w:abstractNumId w:val="3"/>
  </w:num>
  <w:num w:numId="24">
    <w:abstractNumId w:val="2"/>
  </w:num>
  <w:num w:numId="25">
    <w:abstractNumId w:val="11"/>
  </w:num>
  <w:num w:numId="26">
    <w:abstractNumId w:val="9"/>
  </w:num>
  <w:num w:numId="27">
    <w:abstractNumId w:val="8"/>
  </w:num>
  <w:num w:numId="28">
    <w:abstractNumId w:val="7"/>
  </w:num>
  <w:num w:numId="29">
    <w:abstractNumId w:val="6"/>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1"/>
  </w:num>
  <w:num w:numId="1008">
    <w:abstractNumId w:val="991"/>
  </w:num>
  <w:num w:numId="1009">
    <w:abstractNumId w:val="991"/>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before="120" w:after="240" w:line="360"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B2C5C"/>
  </w:style>
  <w:style w:type="paragraph" w:styleId="Nagwek1">
    <w:name w:val="heading 1"/>
    <w:basedOn w:val="Normalny"/>
    <w:next w:val="Normalny"/>
    <w:link w:val="Nagwek1Znak"/>
    <w:uiPriority w:val="9"/>
    <w:qFormat/>
    <w:rsid w:val="00446B7B"/>
    <w:pPr>
      <w:pBdr>
        <w:top w:val="single" w:sz="48" w:space="0" w:color="0F6FC6" w:themeColor="accent1"/>
        <w:left w:val="single" w:sz="48" w:space="0" w:color="0F6FC6" w:themeColor="accent1"/>
        <w:bottom w:val="single" w:sz="48" w:space="0" w:color="0F6FC6" w:themeColor="accent1"/>
        <w:right w:val="single" w:sz="48" w:space="0" w:color="0F6FC6" w:themeColor="accent1"/>
      </w:pBdr>
      <w:shd w:val="clear" w:color="auto" w:fill="0F6FC6" w:themeFill="accent1"/>
      <w:spacing w:before="240" w:after="120" w:line="240" w:lineRule="auto"/>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5A5AEF"/>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5A5AEF"/>
    <w:pPr>
      <w:pBdr>
        <w:top w:val="single" w:sz="6" w:space="2" w:color="0F6FC6" w:themeColor="accent1"/>
      </w:pBdr>
      <w:spacing w:before="300" w:after="0"/>
      <w:outlineLvl w:val="2"/>
    </w:pPr>
    <w:rPr>
      <w:caps/>
      <w:color w:val="073662" w:themeColor="accent1" w:themeShade="7F"/>
      <w:spacing w:val="15"/>
    </w:rPr>
  </w:style>
  <w:style w:type="paragraph" w:styleId="Nagwek4">
    <w:name w:val="heading 4"/>
    <w:basedOn w:val="Normalny"/>
    <w:next w:val="Normalny"/>
    <w:link w:val="Nagwek4Znak"/>
    <w:uiPriority w:val="9"/>
    <w:unhideWhenUsed/>
    <w:qFormat/>
    <w:rsid w:val="005A5AEF"/>
    <w:pPr>
      <w:pBdr>
        <w:top w:val="dotted" w:sz="6" w:space="2" w:color="0F6FC6" w:themeColor="accent1"/>
      </w:pBdr>
      <w:spacing w:before="200" w:after="0"/>
      <w:outlineLvl w:val="3"/>
    </w:pPr>
    <w:rPr>
      <w:caps/>
      <w:color w:val="0B5294" w:themeColor="accent1" w:themeShade="BF"/>
      <w:spacing w:val="10"/>
    </w:rPr>
  </w:style>
  <w:style w:type="paragraph" w:styleId="Nagwek5">
    <w:name w:val="heading 5"/>
    <w:basedOn w:val="Normalny"/>
    <w:next w:val="Normalny"/>
    <w:link w:val="Nagwek5Znak"/>
    <w:uiPriority w:val="9"/>
    <w:unhideWhenUsed/>
    <w:qFormat/>
    <w:rsid w:val="005A5AEF"/>
    <w:pPr>
      <w:pBdr>
        <w:bottom w:val="single" w:sz="6" w:space="1" w:color="0F6FC6" w:themeColor="accent1"/>
      </w:pBdr>
      <w:spacing w:before="200" w:after="0"/>
      <w:outlineLvl w:val="4"/>
    </w:pPr>
    <w:rPr>
      <w:caps/>
      <w:color w:val="0B5294" w:themeColor="accent1" w:themeShade="BF"/>
      <w:spacing w:val="10"/>
    </w:rPr>
  </w:style>
  <w:style w:type="paragraph" w:styleId="Nagwek6">
    <w:name w:val="heading 6"/>
    <w:basedOn w:val="Normalny"/>
    <w:next w:val="Normalny"/>
    <w:link w:val="Nagwek6Znak"/>
    <w:uiPriority w:val="9"/>
    <w:unhideWhenUsed/>
    <w:qFormat/>
    <w:rsid w:val="005A5AEF"/>
    <w:pPr>
      <w:pBdr>
        <w:bottom w:val="dotted" w:sz="6" w:space="1" w:color="0F6FC6" w:themeColor="accent1"/>
      </w:pBdr>
      <w:spacing w:before="200" w:after="0"/>
      <w:outlineLvl w:val="5"/>
    </w:pPr>
    <w:rPr>
      <w:caps/>
      <w:color w:val="0B5294" w:themeColor="accent1" w:themeShade="BF"/>
      <w:spacing w:val="10"/>
    </w:rPr>
  </w:style>
  <w:style w:type="paragraph" w:styleId="Nagwek7">
    <w:name w:val="heading 7"/>
    <w:basedOn w:val="Normalny"/>
    <w:next w:val="Normalny"/>
    <w:link w:val="Nagwek7Znak"/>
    <w:uiPriority w:val="9"/>
    <w:unhideWhenUsed/>
    <w:qFormat/>
    <w:rsid w:val="005A5AEF"/>
    <w:pPr>
      <w:spacing w:before="200" w:after="0"/>
      <w:outlineLvl w:val="6"/>
    </w:pPr>
    <w:rPr>
      <w:caps/>
      <w:color w:val="0B5294" w:themeColor="accent1" w:themeShade="BF"/>
      <w:spacing w:val="10"/>
    </w:rPr>
  </w:style>
  <w:style w:type="paragraph" w:styleId="Nagwek8">
    <w:name w:val="heading 8"/>
    <w:basedOn w:val="Normalny"/>
    <w:next w:val="Normalny"/>
    <w:link w:val="Nagwek8Znak"/>
    <w:uiPriority w:val="9"/>
    <w:unhideWhenUsed/>
    <w:qFormat/>
    <w:rsid w:val="005A5AEF"/>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5A5AEF"/>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spacing w:before="180" w:after="180"/>
    </w:pPr>
  </w:style>
  <w:style w:type="paragraph" w:customStyle="1" w:styleId="FirstParagraph">
    <w:name w:val="First Paragraph"/>
    <w:basedOn w:val="Tekstpodstawowy"/>
    <w:next w:val="Tekstpodstawowy"/>
  </w:style>
  <w:style w:type="paragraph" w:customStyle="1" w:styleId="Compact">
    <w:name w:val="Compact"/>
    <w:basedOn w:val="Tekstpodstawowy"/>
    <w:pPr>
      <w:spacing w:before="36" w:after="36"/>
    </w:pPr>
  </w:style>
  <w:style w:type="paragraph" w:styleId="Tytu">
    <w:name w:val="Title"/>
    <w:basedOn w:val="Normalny"/>
    <w:next w:val="Normalny"/>
    <w:link w:val="TytuZnak"/>
    <w:uiPriority w:val="10"/>
    <w:qFormat/>
    <w:rsid w:val="005A5AEF"/>
    <w:pPr>
      <w:spacing w:before="0" w:after="0"/>
    </w:pPr>
    <w:rPr>
      <w:rFonts w:asciiTheme="majorHAnsi" w:eastAsiaTheme="majorEastAsia" w:hAnsiTheme="majorHAnsi" w:cstheme="majorBidi"/>
      <w:caps/>
      <w:color w:val="0F6FC6" w:themeColor="accent1"/>
      <w:spacing w:val="10"/>
      <w:sz w:val="52"/>
      <w:szCs w:val="52"/>
    </w:rPr>
  </w:style>
  <w:style w:type="paragraph" w:styleId="Podtytu">
    <w:name w:val="Subtitle"/>
    <w:basedOn w:val="Normalny"/>
    <w:next w:val="Normalny"/>
    <w:link w:val="PodtytuZnak"/>
    <w:uiPriority w:val="11"/>
    <w:qFormat/>
    <w:rsid w:val="005A5AEF"/>
    <w:pPr>
      <w:spacing w:before="0" w:after="500" w:line="240" w:lineRule="auto"/>
    </w:pPr>
    <w:rPr>
      <w:caps/>
      <w:color w:val="337FD4" w:themeColor="text1" w:themeTint="A6"/>
      <w:spacing w:val="10"/>
      <w:sz w:val="21"/>
      <w:szCs w:val="21"/>
    </w:rPr>
  </w:style>
  <w:style w:type="paragraph" w:customStyle="1" w:styleId="Author">
    <w:name w:val="Author"/>
    <w:next w:val="Tekstpodstawowy"/>
    <w:pPr>
      <w:keepNext/>
      <w:keepLines/>
      <w:jc w:val="center"/>
    </w:pPr>
  </w:style>
  <w:style w:type="paragraph" w:styleId="Data">
    <w:name w:val="Date"/>
    <w:next w:val="Tekstpodstawowy"/>
    <w:pPr>
      <w:keepNext/>
      <w:keepLines/>
      <w:jc w:val="center"/>
    </w:pPr>
  </w:style>
  <w:style w:type="paragraph" w:customStyle="1" w:styleId="Abstract">
    <w:name w:val="Abstract"/>
    <w:basedOn w:val="Normalny"/>
    <w:next w:val="Tekstpodstawowy"/>
    <w:pPr>
      <w:keepNext/>
      <w:keepLines/>
      <w:spacing w:before="300" w:after="300"/>
    </w:pPr>
    <w:rPr>
      <w:sz w:val="20"/>
      <w:szCs w:val="20"/>
    </w:rPr>
  </w:style>
  <w:style w:type="paragraph" w:styleId="Bibliografia">
    <w:name w:val="Bibliography"/>
    <w:basedOn w:val="Normalny"/>
  </w:style>
  <w:style w:type="paragraph" w:styleId="Tekstblokowy">
    <w:name w:val="Block Text"/>
    <w:basedOn w:val="Tekstpodstawowy"/>
    <w:next w:val="Tekstpodstawowy"/>
    <w:uiPriority w:val="9"/>
    <w:unhideWhenUsed/>
    <w:pPr>
      <w:spacing w:before="100" w:after="100"/>
    </w:pPr>
    <w:rPr>
      <w:rFonts w:asciiTheme="majorHAnsi" w:eastAsiaTheme="majorEastAsia" w:hAnsiTheme="majorHAnsi" w:cstheme="majorBidi"/>
      <w:bCs/>
      <w:sz w:val="20"/>
      <w:szCs w:val="20"/>
    </w:rPr>
  </w:style>
  <w:style w:type="paragraph" w:styleId="Tekstprzypisudolnego">
    <w:name w:val="footnote text"/>
    <w:basedOn w:val="Normalny"/>
    <w:uiPriority w:val="9"/>
    <w:unhideWhenUsed/>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ny"/>
    <w:next w:val="Definition"/>
    <w:pPr>
      <w:keepNext/>
      <w:keepLines/>
      <w:spacing w:after="0"/>
    </w:pPr>
    <w:rPr>
      <w:b/>
    </w:rPr>
  </w:style>
  <w:style w:type="paragraph" w:customStyle="1" w:styleId="Definition">
    <w:name w:val="Definition"/>
    <w:basedOn w:val="Normalny"/>
  </w:style>
  <w:style w:type="paragraph" w:styleId="Legenda">
    <w:name w:val="caption"/>
    <w:basedOn w:val="Normalny"/>
    <w:next w:val="Normalny"/>
    <w:link w:val="LegendaZnak"/>
    <w:uiPriority w:val="35"/>
    <w:unhideWhenUsed/>
    <w:qFormat/>
    <w:rsid w:val="005A5AEF"/>
    <w:rPr>
      <w:b/>
      <w:bCs/>
      <w:color w:val="0B5294" w:themeColor="accent1" w:themeShade="BF"/>
      <w:sz w:val="16"/>
      <w:szCs w:val="16"/>
    </w:rPr>
  </w:style>
  <w:style w:type="paragraph" w:customStyle="1" w:styleId="TableCaption">
    <w:name w:val="Table Caption"/>
    <w:basedOn w:val="Legenda"/>
    <w:pPr>
      <w:keepNext/>
    </w:pPr>
  </w:style>
  <w:style w:type="paragraph" w:customStyle="1" w:styleId="ImageCaption">
    <w:name w:val="Image Caption"/>
    <w:basedOn w:val="Legenda"/>
  </w:style>
  <w:style w:type="paragraph" w:customStyle="1" w:styleId="Figure">
    <w:name w:val="Figure"/>
    <w:basedOn w:val="Normalny"/>
  </w:style>
  <w:style w:type="paragraph" w:customStyle="1" w:styleId="CaptionedFigure">
    <w:name w:val="Captioned Figure"/>
    <w:basedOn w:val="Figure"/>
    <w:pPr>
      <w:keepNext/>
    </w:pPr>
  </w:style>
  <w:style w:type="character" w:customStyle="1" w:styleId="LegendaZnak">
    <w:name w:val="Legenda Znak"/>
    <w:basedOn w:val="Domylnaczcionkaakapitu"/>
    <w:link w:val="Legenda"/>
    <w:uiPriority w:val="35"/>
    <w:rPr>
      <w:b/>
      <w:bCs/>
      <w:color w:val="0B5294" w:themeColor="accent1" w:themeShade="BF"/>
      <w:sz w:val="16"/>
      <w:szCs w:val="16"/>
    </w:rPr>
  </w:style>
  <w:style w:type="character" w:customStyle="1" w:styleId="VerbatimChar">
    <w:name w:val="Verbatim Char"/>
    <w:basedOn w:val="LegendaZnak"/>
    <w:link w:val="SourceCode"/>
    <w:rPr>
      <w:rFonts w:ascii="Consolas" w:hAnsi="Consolas"/>
      <w:b/>
      <w:bCs/>
      <w:color w:val="0B5294" w:themeColor="accent1" w:themeShade="BF"/>
      <w:sz w:val="22"/>
      <w:szCs w:val="16"/>
    </w:rPr>
  </w:style>
  <w:style w:type="character" w:styleId="Odwoanieprzypisudolnego">
    <w:name w:val="footnote reference"/>
    <w:basedOn w:val="LegendaZnak"/>
    <w:rPr>
      <w:b/>
      <w:bCs/>
      <w:color w:val="0B5294" w:themeColor="accent1" w:themeShade="BF"/>
      <w:sz w:val="16"/>
      <w:szCs w:val="16"/>
      <w:vertAlign w:val="superscript"/>
    </w:rPr>
  </w:style>
  <w:style w:type="character" w:styleId="Hipercze">
    <w:name w:val="Hyperlink"/>
    <w:basedOn w:val="LegendaZnak"/>
    <w:rPr>
      <w:b/>
      <w:bCs/>
      <w:color w:val="0F6FC6" w:themeColor="accent1"/>
      <w:sz w:val="16"/>
      <w:szCs w:val="16"/>
    </w:rPr>
  </w:style>
  <w:style w:type="paragraph" w:styleId="Nagwekspisutreci">
    <w:name w:val="TOC Heading"/>
    <w:basedOn w:val="Nagwek1"/>
    <w:next w:val="Normalny"/>
    <w:uiPriority w:val="39"/>
    <w:unhideWhenUsed/>
    <w:qFormat/>
    <w:rsid w:val="005A5AEF"/>
    <w:pPr>
      <w:outlineLvl w:val="9"/>
    </w:pPr>
  </w:style>
  <w:style w:type="character" w:customStyle="1" w:styleId="Nagwek1Znak">
    <w:name w:val="Nagłówek 1 Znak"/>
    <w:basedOn w:val="Domylnaczcionkaakapitu"/>
    <w:link w:val="Nagwek1"/>
    <w:uiPriority w:val="9"/>
    <w:rsid w:val="00446B7B"/>
    <w:rPr>
      <w:caps/>
      <w:color w:val="FFFFFF" w:themeColor="background1"/>
      <w:spacing w:val="15"/>
      <w:sz w:val="22"/>
      <w:szCs w:val="22"/>
      <w:shd w:val="clear" w:color="auto" w:fill="0F6FC6" w:themeFill="accent1"/>
    </w:rPr>
  </w:style>
  <w:style w:type="character" w:customStyle="1" w:styleId="Nagwek2Znak">
    <w:name w:val="Nagłówek 2 Znak"/>
    <w:basedOn w:val="Domylnaczcionkaakapitu"/>
    <w:link w:val="Nagwek2"/>
    <w:uiPriority w:val="9"/>
    <w:rsid w:val="005A5AEF"/>
    <w:rPr>
      <w:caps/>
      <w:spacing w:val="15"/>
      <w:shd w:val="clear" w:color="auto" w:fill="C7E2FA" w:themeFill="accent1" w:themeFillTint="33"/>
    </w:rPr>
  </w:style>
  <w:style w:type="character" w:customStyle="1" w:styleId="Nagwek3Znak">
    <w:name w:val="Nagłówek 3 Znak"/>
    <w:basedOn w:val="Domylnaczcionkaakapitu"/>
    <w:link w:val="Nagwek3"/>
    <w:uiPriority w:val="9"/>
    <w:rsid w:val="005A5AEF"/>
    <w:rPr>
      <w:caps/>
      <w:color w:val="073662" w:themeColor="accent1" w:themeShade="7F"/>
      <w:spacing w:val="15"/>
    </w:rPr>
  </w:style>
  <w:style w:type="character" w:customStyle="1" w:styleId="Nagwek4Znak">
    <w:name w:val="Nagłówek 4 Znak"/>
    <w:basedOn w:val="Domylnaczcionkaakapitu"/>
    <w:link w:val="Nagwek4"/>
    <w:uiPriority w:val="9"/>
    <w:rsid w:val="005A5AEF"/>
    <w:rPr>
      <w:caps/>
      <w:color w:val="0B5294" w:themeColor="accent1" w:themeShade="BF"/>
      <w:spacing w:val="10"/>
    </w:rPr>
  </w:style>
  <w:style w:type="character" w:customStyle="1" w:styleId="Nagwek5Znak">
    <w:name w:val="Nagłówek 5 Znak"/>
    <w:basedOn w:val="Domylnaczcionkaakapitu"/>
    <w:link w:val="Nagwek5"/>
    <w:uiPriority w:val="9"/>
    <w:rsid w:val="005A5AEF"/>
    <w:rPr>
      <w:caps/>
      <w:color w:val="0B5294" w:themeColor="accent1" w:themeShade="BF"/>
      <w:spacing w:val="10"/>
    </w:rPr>
  </w:style>
  <w:style w:type="character" w:customStyle="1" w:styleId="Nagwek6Znak">
    <w:name w:val="Nagłówek 6 Znak"/>
    <w:basedOn w:val="Domylnaczcionkaakapitu"/>
    <w:link w:val="Nagwek6"/>
    <w:uiPriority w:val="9"/>
    <w:rsid w:val="005A5AEF"/>
    <w:rPr>
      <w:caps/>
      <w:color w:val="0B5294" w:themeColor="accent1" w:themeShade="BF"/>
      <w:spacing w:val="10"/>
    </w:rPr>
  </w:style>
  <w:style w:type="character" w:customStyle="1" w:styleId="Nagwek7Znak">
    <w:name w:val="Nagłówek 7 Znak"/>
    <w:basedOn w:val="Domylnaczcionkaakapitu"/>
    <w:link w:val="Nagwek7"/>
    <w:uiPriority w:val="9"/>
    <w:rsid w:val="005A5AEF"/>
    <w:rPr>
      <w:caps/>
      <w:color w:val="0B5294" w:themeColor="accent1" w:themeShade="BF"/>
      <w:spacing w:val="10"/>
    </w:rPr>
  </w:style>
  <w:style w:type="character" w:customStyle="1" w:styleId="Nagwek8Znak">
    <w:name w:val="Nagłówek 8 Znak"/>
    <w:basedOn w:val="Domylnaczcionkaakapitu"/>
    <w:link w:val="Nagwek8"/>
    <w:uiPriority w:val="9"/>
    <w:rsid w:val="005A5AEF"/>
    <w:rPr>
      <w:caps/>
      <w:spacing w:val="10"/>
      <w:sz w:val="18"/>
      <w:szCs w:val="18"/>
    </w:rPr>
  </w:style>
  <w:style w:type="character" w:customStyle="1" w:styleId="Nagwek9Znak">
    <w:name w:val="Nagłówek 9 Znak"/>
    <w:basedOn w:val="Domylnaczcionkaakapitu"/>
    <w:link w:val="Nagwek9"/>
    <w:uiPriority w:val="9"/>
    <w:rsid w:val="005A5AEF"/>
    <w:rPr>
      <w:i/>
      <w:iCs/>
      <w:caps/>
      <w:spacing w:val="10"/>
      <w:sz w:val="18"/>
      <w:szCs w:val="18"/>
    </w:rPr>
  </w:style>
  <w:style w:type="character" w:customStyle="1" w:styleId="TytuZnak">
    <w:name w:val="Tytuł Znak"/>
    <w:basedOn w:val="Domylnaczcionkaakapitu"/>
    <w:link w:val="Tytu"/>
    <w:uiPriority w:val="10"/>
    <w:rsid w:val="005A5AEF"/>
    <w:rPr>
      <w:rFonts w:asciiTheme="majorHAnsi" w:eastAsiaTheme="majorEastAsia" w:hAnsiTheme="majorHAnsi" w:cstheme="majorBidi"/>
      <w:caps/>
      <w:color w:val="0F6FC6" w:themeColor="accent1"/>
      <w:spacing w:val="10"/>
      <w:sz w:val="52"/>
      <w:szCs w:val="52"/>
    </w:rPr>
  </w:style>
  <w:style w:type="character" w:customStyle="1" w:styleId="PodtytuZnak">
    <w:name w:val="Podtytuł Znak"/>
    <w:basedOn w:val="Domylnaczcionkaakapitu"/>
    <w:link w:val="Podtytu"/>
    <w:uiPriority w:val="11"/>
    <w:rsid w:val="005A5AEF"/>
    <w:rPr>
      <w:caps/>
      <w:color w:val="337FD4" w:themeColor="text1" w:themeTint="A6"/>
      <w:spacing w:val="10"/>
      <w:sz w:val="21"/>
      <w:szCs w:val="21"/>
    </w:rPr>
  </w:style>
  <w:style w:type="character" w:styleId="Pogrubienie">
    <w:name w:val="Strong"/>
    <w:uiPriority w:val="22"/>
    <w:qFormat/>
    <w:rsid w:val="005A5AEF"/>
    <w:rPr>
      <w:b/>
      <w:bCs/>
    </w:rPr>
  </w:style>
  <w:style w:type="character" w:styleId="Uwydatnienie">
    <w:name w:val="Emphasis"/>
    <w:uiPriority w:val="20"/>
    <w:qFormat/>
    <w:rsid w:val="005A5AEF"/>
    <w:rPr>
      <w:caps/>
      <w:color w:val="073662" w:themeColor="accent1" w:themeShade="7F"/>
      <w:spacing w:val="5"/>
    </w:rPr>
  </w:style>
  <w:style w:type="paragraph" w:styleId="Bezodstpw">
    <w:name w:val="No Spacing"/>
    <w:uiPriority w:val="1"/>
    <w:qFormat/>
    <w:rsid w:val="005A5AEF"/>
    <w:pPr>
      <w:spacing w:after="0" w:line="240" w:lineRule="auto"/>
    </w:pPr>
  </w:style>
  <w:style w:type="paragraph" w:styleId="Cytat">
    <w:name w:val="Quote"/>
    <w:basedOn w:val="Normalny"/>
    <w:next w:val="Normalny"/>
    <w:link w:val="CytatZnak"/>
    <w:uiPriority w:val="29"/>
    <w:qFormat/>
    <w:rsid w:val="005A5AEF"/>
    <w:rPr>
      <w:i/>
      <w:iCs/>
    </w:rPr>
  </w:style>
  <w:style w:type="character" w:customStyle="1" w:styleId="CytatZnak">
    <w:name w:val="Cytat Znak"/>
    <w:basedOn w:val="Domylnaczcionkaakapitu"/>
    <w:link w:val="Cytat"/>
    <w:uiPriority w:val="29"/>
    <w:rsid w:val="005A5AEF"/>
    <w:rPr>
      <w:i/>
      <w:iCs/>
      <w:sz w:val="24"/>
      <w:szCs w:val="24"/>
    </w:rPr>
  </w:style>
  <w:style w:type="paragraph" w:styleId="Cytatintensywny">
    <w:name w:val="Intense Quote"/>
    <w:basedOn w:val="Normalny"/>
    <w:next w:val="Normalny"/>
    <w:link w:val="CytatintensywnyZnak"/>
    <w:uiPriority w:val="30"/>
    <w:qFormat/>
    <w:rsid w:val="005A5AEF"/>
    <w:pPr>
      <w:spacing w:before="240" w:line="240" w:lineRule="auto"/>
      <w:ind w:left="1080" w:right="1080"/>
      <w:jc w:val="center"/>
    </w:pPr>
    <w:rPr>
      <w:color w:val="0F6FC6" w:themeColor="accent1"/>
    </w:rPr>
  </w:style>
  <w:style w:type="character" w:customStyle="1" w:styleId="CytatintensywnyZnak">
    <w:name w:val="Cytat intensywny Znak"/>
    <w:basedOn w:val="Domylnaczcionkaakapitu"/>
    <w:link w:val="Cytatintensywny"/>
    <w:uiPriority w:val="30"/>
    <w:rsid w:val="005A5AEF"/>
    <w:rPr>
      <w:color w:val="0F6FC6" w:themeColor="accent1"/>
      <w:sz w:val="24"/>
      <w:szCs w:val="24"/>
    </w:rPr>
  </w:style>
  <w:style w:type="character" w:styleId="Wyrnieniedelikatne">
    <w:name w:val="Subtle Emphasis"/>
    <w:uiPriority w:val="19"/>
    <w:qFormat/>
    <w:rsid w:val="005A5AEF"/>
    <w:rPr>
      <w:i/>
      <w:iCs/>
      <w:color w:val="073662" w:themeColor="accent1" w:themeShade="7F"/>
    </w:rPr>
  </w:style>
  <w:style w:type="character" w:styleId="Wyrnienieintensywne">
    <w:name w:val="Intense Emphasis"/>
    <w:uiPriority w:val="21"/>
    <w:qFormat/>
    <w:rsid w:val="005A5AEF"/>
    <w:rPr>
      <w:b/>
      <w:bCs/>
      <w:caps/>
      <w:color w:val="073662" w:themeColor="accent1" w:themeShade="7F"/>
      <w:spacing w:val="10"/>
    </w:rPr>
  </w:style>
  <w:style w:type="character" w:styleId="Odwoaniedelikatne">
    <w:name w:val="Subtle Reference"/>
    <w:uiPriority w:val="31"/>
    <w:qFormat/>
    <w:rsid w:val="005A5AEF"/>
    <w:rPr>
      <w:b/>
      <w:bCs/>
      <w:color w:val="0F6FC6" w:themeColor="accent1"/>
    </w:rPr>
  </w:style>
  <w:style w:type="character" w:styleId="Odwoanieintensywne">
    <w:name w:val="Intense Reference"/>
    <w:uiPriority w:val="32"/>
    <w:qFormat/>
    <w:rsid w:val="005A5AEF"/>
    <w:rPr>
      <w:b/>
      <w:bCs/>
      <w:i/>
      <w:iCs/>
      <w:caps/>
      <w:color w:val="0F6FC6" w:themeColor="accent1"/>
    </w:rPr>
  </w:style>
  <w:style w:type="character" w:styleId="Tytuksiki">
    <w:name w:val="Book Title"/>
    <w:uiPriority w:val="33"/>
    <w:qFormat/>
    <w:rsid w:val="005A5AEF"/>
    <w:rPr>
      <w:b/>
      <w:bCs/>
      <w:i/>
      <w:iCs/>
      <w:spacing w:val="0"/>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bCs/>
      <w:color w:val="007020"/>
      <w:sz w:val="22"/>
      <w:szCs w:val="16"/>
    </w:rPr>
  </w:style>
  <w:style w:type="character" w:customStyle="1" w:styleId="DataTypeTok">
    <w:name w:val="DataTypeTok"/>
    <w:basedOn w:val="VerbatimChar"/>
    <w:rPr>
      <w:rFonts w:ascii="Consolas" w:hAnsi="Consolas"/>
      <w:b/>
      <w:bCs/>
      <w:color w:val="902000"/>
      <w:sz w:val="22"/>
      <w:szCs w:val="16"/>
    </w:rPr>
  </w:style>
  <w:style w:type="character" w:customStyle="1" w:styleId="DecValTok">
    <w:name w:val="DecValTok"/>
    <w:basedOn w:val="VerbatimChar"/>
    <w:rPr>
      <w:rFonts w:ascii="Consolas" w:hAnsi="Consolas"/>
      <w:b/>
      <w:bCs/>
      <w:color w:val="40A070"/>
      <w:sz w:val="22"/>
      <w:szCs w:val="16"/>
    </w:rPr>
  </w:style>
  <w:style w:type="character" w:customStyle="1" w:styleId="BaseNTok">
    <w:name w:val="BaseNTok"/>
    <w:basedOn w:val="VerbatimChar"/>
    <w:rPr>
      <w:rFonts w:ascii="Consolas" w:hAnsi="Consolas"/>
      <w:b/>
      <w:bCs/>
      <w:color w:val="40A070"/>
      <w:sz w:val="22"/>
      <w:szCs w:val="16"/>
    </w:rPr>
  </w:style>
  <w:style w:type="character" w:customStyle="1" w:styleId="FloatTok">
    <w:name w:val="FloatTok"/>
    <w:basedOn w:val="VerbatimChar"/>
    <w:rPr>
      <w:rFonts w:ascii="Consolas" w:hAnsi="Consolas"/>
      <w:b/>
      <w:bCs/>
      <w:color w:val="40A070"/>
      <w:sz w:val="22"/>
      <w:szCs w:val="16"/>
    </w:rPr>
  </w:style>
  <w:style w:type="character" w:customStyle="1" w:styleId="ConstantTok">
    <w:name w:val="ConstantTok"/>
    <w:basedOn w:val="VerbatimChar"/>
    <w:rPr>
      <w:rFonts w:ascii="Consolas" w:hAnsi="Consolas"/>
      <w:b/>
      <w:bCs/>
      <w:color w:val="880000"/>
      <w:sz w:val="22"/>
      <w:szCs w:val="16"/>
    </w:rPr>
  </w:style>
  <w:style w:type="character" w:customStyle="1" w:styleId="CharTok">
    <w:name w:val="CharTok"/>
    <w:basedOn w:val="VerbatimChar"/>
    <w:rPr>
      <w:rFonts w:ascii="Consolas" w:hAnsi="Consolas"/>
      <w:b/>
      <w:bCs/>
      <w:color w:val="4070A0"/>
      <w:sz w:val="22"/>
      <w:szCs w:val="16"/>
    </w:rPr>
  </w:style>
  <w:style w:type="character" w:customStyle="1" w:styleId="SpecialCharTok">
    <w:name w:val="SpecialCharTok"/>
    <w:basedOn w:val="VerbatimChar"/>
    <w:rPr>
      <w:rFonts w:ascii="Consolas" w:hAnsi="Consolas"/>
      <w:b/>
      <w:bCs/>
      <w:color w:val="4070A0"/>
      <w:sz w:val="22"/>
      <w:szCs w:val="16"/>
    </w:rPr>
  </w:style>
  <w:style w:type="character" w:customStyle="1" w:styleId="StringTok">
    <w:name w:val="StringTok"/>
    <w:basedOn w:val="VerbatimChar"/>
    <w:rPr>
      <w:rFonts w:ascii="Consolas" w:hAnsi="Consolas"/>
      <w:b/>
      <w:bCs/>
      <w:color w:val="4070A0"/>
      <w:sz w:val="22"/>
      <w:szCs w:val="16"/>
    </w:rPr>
  </w:style>
  <w:style w:type="character" w:customStyle="1" w:styleId="VerbatimStringTok">
    <w:name w:val="VerbatimStringTok"/>
    <w:basedOn w:val="VerbatimChar"/>
    <w:rPr>
      <w:rFonts w:ascii="Consolas" w:hAnsi="Consolas"/>
      <w:b/>
      <w:bCs/>
      <w:color w:val="4070A0"/>
      <w:sz w:val="22"/>
      <w:szCs w:val="16"/>
    </w:rPr>
  </w:style>
  <w:style w:type="character" w:customStyle="1" w:styleId="SpecialStringTok">
    <w:name w:val="SpecialStringTok"/>
    <w:basedOn w:val="VerbatimChar"/>
    <w:rPr>
      <w:rFonts w:ascii="Consolas" w:hAnsi="Consolas"/>
      <w:b/>
      <w:bCs/>
      <w:color w:val="BB6688"/>
      <w:sz w:val="22"/>
      <w:szCs w:val="16"/>
    </w:rPr>
  </w:style>
  <w:style w:type="character" w:customStyle="1" w:styleId="ImportTok">
    <w:name w:val="ImportTok"/>
    <w:basedOn w:val="VerbatimChar"/>
    <w:rPr>
      <w:rFonts w:ascii="Consolas" w:hAnsi="Consolas"/>
      <w:b/>
      <w:bCs/>
      <w:color w:val="0B5294" w:themeColor="accent1" w:themeShade="BF"/>
      <w:sz w:val="22"/>
      <w:szCs w:val="16"/>
    </w:rPr>
  </w:style>
  <w:style w:type="character" w:customStyle="1" w:styleId="CommentTok">
    <w:name w:val="CommentTok"/>
    <w:basedOn w:val="VerbatimChar"/>
    <w:rPr>
      <w:rFonts w:ascii="Consolas" w:hAnsi="Consolas"/>
      <w:b/>
      <w:bCs/>
      <w:i/>
      <w:color w:val="60A0B0"/>
      <w:sz w:val="22"/>
      <w:szCs w:val="16"/>
    </w:rPr>
  </w:style>
  <w:style w:type="character" w:customStyle="1" w:styleId="DocumentationTok">
    <w:name w:val="DocumentationTok"/>
    <w:basedOn w:val="VerbatimChar"/>
    <w:rPr>
      <w:rFonts w:ascii="Consolas" w:hAnsi="Consolas"/>
      <w:b/>
      <w:bCs/>
      <w:i/>
      <w:color w:val="BA2121"/>
      <w:sz w:val="22"/>
      <w:szCs w:val="16"/>
    </w:rPr>
  </w:style>
  <w:style w:type="character" w:customStyle="1" w:styleId="AnnotationTok">
    <w:name w:val="AnnotationTok"/>
    <w:basedOn w:val="VerbatimChar"/>
    <w:rPr>
      <w:rFonts w:ascii="Consolas" w:hAnsi="Consolas"/>
      <w:b/>
      <w:bCs/>
      <w:i/>
      <w:color w:val="60A0B0"/>
      <w:sz w:val="22"/>
      <w:szCs w:val="16"/>
    </w:rPr>
  </w:style>
  <w:style w:type="character" w:customStyle="1" w:styleId="CommentVarTok">
    <w:name w:val="CommentVarTok"/>
    <w:basedOn w:val="VerbatimChar"/>
    <w:rPr>
      <w:rFonts w:ascii="Consolas" w:hAnsi="Consolas"/>
      <w:b/>
      <w:bCs/>
      <w:i/>
      <w:color w:val="60A0B0"/>
      <w:sz w:val="22"/>
      <w:szCs w:val="16"/>
    </w:rPr>
  </w:style>
  <w:style w:type="character" w:customStyle="1" w:styleId="OtherTok">
    <w:name w:val="OtherTok"/>
    <w:basedOn w:val="VerbatimChar"/>
    <w:rPr>
      <w:rFonts w:ascii="Consolas" w:hAnsi="Consolas"/>
      <w:b/>
      <w:bCs/>
      <w:color w:val="007020"/>
      <w:sz w:val="22"/>
      <w:szCs w:val="16"/>
    </w:rPr>
  </w:style>
  <w:style w:type="character" w:customStyle="1" w:styleId="FunctionTok">
    <w:name w:val="FunctionTok"/>
    <w:basedOn w:val="VerbatimChar"/>
    <w:rPr>
      <w:rFonts w:ascii="Consolas" w:hAnsi="Consolas"/>
      <w:b/>
      <w:bCs/>
      <w:color w:val="06287E"/>
      <w:sz w:val="22"/>
      <w:szCs w:val="16"/>
    </w:rPr>
  </w:style>
  <w:style w:type="character" w:customStyle="1" w:styleId="VariableTok">
    <w:name w:val="VariableTok"/>
    <w:basedOn w:val="VerbatimChar"/>
    <w:rPr>
      <w:rFonts w:ascii="Consolas" w:hAnsi="Consolas"/>
      <w:b/>
      <w:bCs/>
      <w:color w:val="19177C"/>
      <w:sz w:val="22"/>
      <w:szCs w:val="16"/>
    </w:rPr>
  </w:style>
  <w:style w:type="character" w:customStyle="1" w:styleId="ControlFlowTok">
    <w:name w:val="ControlFlowTok"/>
    <w:basedOn w:val="VerbatimChar"/>
    <w:rPr>
      <w:rFonts w:ascii="Consolas" w:hAnsi="Consolas"/>
      <w:b/>
      <w:bCs/>
      <w:color w:val="007020"/>
      <w:sz w:val="22"/>
      <w:szCs w:val="16"/>
    </w:rPr>
  </w:style>
  <w:style w:type="character" w:customStyle="1" w:styleId="OperatorTok">
    <w:name w:val="OperatorTok"/>
    <w:basedOn w:val="VerbatimChar"/>
    <w:rPr>
      <w:rFonts w:ascii="Consolas" w:hAnsi="Consolas"/>
      <w:b/>
      <w:bCs/>
      <w:color w:val="666666"/>
      <w:sz w:val="22"/>
      <w:szCs w:val="16"/>
    </w:rPr>
  </w:style>
  <w:style w:type="character" w:customStyle="1" w:styleId="BuiltInTok">
    <w:name w:val="BuiltInTok"/>
    <w:basedOn w:val="VerbatimChar"/>
    <w:rPr>
      <w:rFonts w:ascii="Consolas" w:hAnsi="Consolas"/>
      <w:b/>
      <w:bCs/>
      <w:color w:val="0B5294" w:themeColor="accent1" w:themeShade="BF"/>
      <w:sz w:val="22"/>
      <w:szCs w:val="16"/>
    </w:rPr>
  </w:style>
  <w:style w:type="character" w:customStyle="1" w:styleId="ExtensionTok">
    <w:name w:val="ExtensionTok"/>
    <w:basedOn w:val="VerbatimChar"/>
    <w:rPr>
      <w:rFonts w:ascii="Consolas" w:hAnsi="Consolas"/>
      <w:b/>
      <w:bCs/>
      <w:color w:val="0B5294" w:themeColor="accent1" w:themeShade="BF"/>
      <w:sz w:val="22"/>
      <w:szCs w:val="16"/>
    </w:rPr>
  </w:style>
  <w:style w:type="character" w:customStyle="1" w:styleId="PreprocessorTok">
    <w:name w:val="PreprocessorTok"/>
    <w:basedOn w:val="VerbatimChar"/>
    <w:rPr>
      <w:rFonts w:ascii="Consolas" w:hAnsi="Consolas"/>
      <w:b/>
      <w:bCs/>
      <w:color w:val="BC7A00"/>
      <w:sz w:val="22"/>
      <w:szCs w:val="16"/>
    </w:rPr>
  </w:style>
  <w:style w:type="character" w:customStyle="1" w:styleId="AttributeTok">
    <w:name w:val="AttributeTok"/>
    <w:basedOn w:val="VerbatimChar"/>
    <w:rPr>
      <w:rFonts w:ascii="Consolas" w:hAnsi="Consolas"/>
      <w:b/>
      <w:bCs/>
      <w:color w:val="7D9029"/>
      <w:sz w:val="22"/>
      <w:szCs w:val="16"/>
    </w:rPr>
  </w:style>
  <w:style w:type="character" w:customStyle="1" w:styleId="RegionMarkerTok">
    <w:name w:val="RegionMarkerTok"/>
    <w:basedOn w:val="VerbatimChar"/>
    <w:rPr>
      <w:rFonts w:ascii="Consolas" w:hAnsi="Consolas"/>
      <w:b/>
      <w:bCs/>
      <w:color w:val="0B5294" w:themeColor="accent1" w:themeShade="BF"/>
      <w:sz w:val="22"/>
      <w:szCs w:val="16"/>
    </w:rPr>
  </w:style>
  <w:style w:type="character" w:customStyle="1" w:styleId="InformationTok">
    <w:name w:val="InformationTok"/>
    <w:basedOn w:val="VerbatimChar"/>
    <w:rPr>
      <w:rFonts w:ascii="Consolas" w:hAnsi="Consolas"/>
      <w:b/>
      <w:bCs/>
      <w:i/>
      <w:color w:val="60A0B0"/>
      <w:sz w:val="22"/>
      <w:szCs w:val="16"/>
    </w:rPr>
  </w:style>
  <w:style w:type="character" w:customStyle="1" w:styleId="WarningTok">
    <w:name w:val="WarningTok"/>
    <w:basedOn w:val="VerbatimChar"/>
    <w:rPr>
      <w:rFonts w:ascii="Consolas" w:hAnsi="Consolas"/>
      <w:b/>
      <w:bCs/>
      <w:i/>
      <w:color w:val="60A0B0"/>
      <w:sz w:val="22"/>
      <w:szCs w:val="16"/>
    </w:rPr>
  </w:style>
  <w:style w:type="character" w:customStyle="1" w:styleId="AlertTok">
    <w:name w:val="AlertTok"/>
    <w:basedOn w:val="VerbatimChar"/>
    <w:rPr>
      <w:rFonts w:ascii="Consolas" w:hAnsi="Consolas"/>
      <w:b/>
      <w:bCs/>
      <w:color w:val="FF0000"/>
      <w:sz w:val="22"/>
      <w:szCs w:val="16"/>
    </w:rPr>
  </w:style>
  <w:style w:type="character" w:customStyle="1" w:styleId="ErrorTok">
    <w:name w:val="ErrorTok"/>
    <w:basedOn w:val="VerbatimChar"/>
    <w:rPr>
      <w:rFonts w:ascii="Consolas" w:hAnsi="Consolas"/>
      <w:b/>
      <w:bCs/>
      <w:color w:val="FF0000"/>
      <w:sz w:val="22"/>
      <w:szCs w:val="16"/>
    </w:rPr>
  </w:style>
  <w:style w:type="character" w:customStyle="1" w:styleId="NormalTok">
    <w:name w:val="NormalTok"/>
    <w:basedOn w:val="VerbatimChar"/>
    <w:rPr>
      <w:rFonts w:ascii="Consolas" w:hAnsi="Consolas"/>
      <w:b/>
      <w:bCs/>
      <w:color w:val="0B5294" w:themeColor="accent1" w:themeShade="BF"/>
      <w:sz w:val="22"/>
      <w:szCs w:val="16"/>
    </w:rPr>
  </w:style>
  <w:style w:type="paragraph" w:styleId="Nagwek">
    <w:name w:val="header"/>
    <w:basedOn w:val="Normalny"/>
    <w:link w:val="NagwekZnak"/>
    <w:unhideWhenUsed/>
    <w:rsid w:val="00583B03"/>
    <w:pPr>
      <w:tabs>
        <w:tab w:val="center" w:pos="4536"/>
        <w:tab w:val="right" w:pos="9072"/>
      </w:tabs>
      <w:spacing w:before="0" w:after="0" w:line="240" w:lineRule="auto"/>
    </w:pPr>
  </w:style>
  <w:style w:type="character" w:customStyle="1" w:styleId="TekstpodstawowyZnak">
    <w:name w:val="Tekst podstawowy Znak"/>
    <w:basedOn w:val="Domylnaczcionkaakapitu"/>
    <w:link w:val="Tekstpodstawowy"/>
    <w:rsid w:val="00D02CFB"/>
  </w:style>
  <w:style w:type="character" w:customStyle="1" w:styleId="NagwekZnak">
    <w:name w:val="Nagłówek Znak"/>
    <w:basedOn w:val="Domylnaczcionkaakapitu"/>
    <w:link w:val="Nagwek"/>
    <w:rsid w:val="00583B03"/>
  </w:style>
  <w:style w:type="paragraph" w:styleId="Stopka">
    <w:name w:val="footer"/>
    <w:basedOn w:val="Normalny"/>
    <w:link w:val="StopkaZnak"/>
    <w:uiPriority w:val="99"/>
    <w:unhideWhenUsed/>
    <w:rsid w:val="00583B03"/>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583B03"/>
  </w:style>
  <w:style w:type="character" w:styleId="Nierozpoznanawzmianka">
    <w:name w:val="Unresolved Mention"/>
    <w:basedOn w:val="Domylnaczcionkaakapitu"/>
    <w:uiPriority w:val="99"/>
    <w:semiHidden/>
    <w:unhideWhenUsed/>
    <w:rsid w:val="00583B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 Type="http://schemas.openxmlformats.org/officeDocument/2006/relationships/hyperlink" Id="rId33" Target="/cdn-cgi/l/email-protection" TargetMode="External" /><Relationship Type="http://schemas.openxmlformats.org/officeDocument/2006/relationships/hyperlink" Id="rId29" Target="https://pliki.progressproject.pl/pliki/img/common/oswiadczenie_o_finansowaniu_wzor_13.09.2019.docx" TargetMode="External" /><Relationship Type="http://schemas.openxmlformats.org/officeDocument/2006/relationships/hyperlink" Id="rId31" Target="https://progressproject.pl/szkolenia/agilepm_and_agileba_foundation_szkolenie_akredytowane" TargetMode="External" /></Relationships>
</file>

<file path=word/_rels/footnotes.xml.rels><?xml version="1.0" encoding="UTF-8"?>
<Relationships xmlns="http://schemas.openxmlformats.org/package/2006/relationships"><Relationship Type="http://schemas.openxmlformats.org/officeDocument/2006/relationships/hyperlink" Id="rId33" Target="/cdn-cgi/l/email-protection" TargetMode="External" /><Relationship Type="http://schemas.openxmlformats.org/officeDocument/2006/relationships/hyperlink" Id="rId29" Target="https://pliki.progressproject.pl/pliki/img/common/oswiadczenie_o_finansowaniu_wzor_13.09.2019.docx" TargetMode="External" /><Relationship Type="http://schemas.openxmlformats.org/officeDocument/2006/relationships/hyperlink" Id="rId31" Target="https://progressproject.pl/szkolenia/agilepm_and_agileba_foundation_szkolenie_akredytowane"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rogressProject">
      <a:dk1>
        <a:srgbClr val="17406D"/>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4118</TotalTime>
  <Pages>7</Pages>
  <Words>1243</Words>
  <Characters>7461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Controlling w logistyce - Controlling operacyjny</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Szkolenie online: AgilePM® &amp; AgileBA® Foundation - szkolenie akredytowane</dc:title>
  <dc:creator/>
  <cp:keywords/>
  <dcterms:created xsi:type="dcterms:W3CDTF">2020-11-25T03:02:19Z</dcterms:created>
  <dcterms:modified xsi:type="dcterms:W3CDTF">2020-11-25T03:02:19Z</dcterms:modified>
</cp:coreProperties>
</file>