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Business</w:t>
      </w:r>
      <w:r>
        <w:t xml:space="preserve"> </w:t>
      </w:r>
      <w:r>
        <w:t xml:space="preserve">Economics</w:t>
      </w:r>
      <w:r>
        <w:t xml:space="preserve"> </w:t>
      </w:r>
      <w:r>
        <w:t xml:space="preserve">for</w:t>
      </w:r>
      <w:r>
        <w:t xml:space="preserve"> </w:t>
      </w:r>
      <w:r>
        <w:t xml:space="preserve">IT</w:t>
      </w:r>
      <w:r>
        <w:t xml:space="preserve"> </w:t>
      </w:r>
      <w:r>
        <w:t xml:space="preserve">Specialist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22-24 czerwca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Program szkolenia rozpisany został modułowo, aby osiągnąć jak najefektywniej osiągnąć cele i EBC * L  na poziomie  A.</w:t>
      </w:r>
    </w:p>
    <w:p>
      <w:pPr>
        <w:pStyle w:val="Tekstpodstawowy"/>
      </w:pPr>
      <w:r>
        <w:t xml:space="preserve">Ogólne cele szkolenia:</w:t>
      </w:r>
    </w:p>
    <w:p>
      <w:pPr>
        <w:pStyle w:val="Compact"/>
        <w:numPr>
          <w:numId w:val="1003"/>
          <w:ilvl w:val="0"/>
        </w:numPr>
      </w:pPr>
      <w:r>
        <w:t xml:space="preserve">Zbudowanie wspólnego „ekonomicznego” języka dla menedżerów i specjalistów z różnych obszarów biznesowych</w:t>
      </w:r>
    </w:p>
    <w:p>
      <w:pPr>
        <w:pStyle w:val="Compact"/>
        <w:numPr>
          <w:numId w:val="1003"/>
          <w:ilvl w:val="0"/>
        </w:numPr>
      </w:pPr>
      <w:r>
        <w:t xml:space="preserve">Zwiększenie wiedzy eksperckiej i umiejętności specjalistów oraz menedżerów, dzięki zrozumieniu podstaw ekonomii i i działań przy podejmowaniu decyzji lub propozycji ulepszeń.</w:t>
      </w:r>
    </w:p>
    <w:p>
      <w:pPr>
        <w:pStyle w:val="Compact"/>
        <w:numPr>
          <w:numId w:val="1003"/>
          <w:ilvl w:val="0"/>
        </w:numPr>
      </w:pPr>
      <w:r>
        <w:t xml:space="preserve">Zagwarantowanie poziomu wiedzy i umiejętności ekonomicznych pozwolających na uzyskanie pozytywnego wyniku egzaminu EBC * L na poziomie A.</w:t>
      </w:r>
    </w:p>
    <w:p>
      <w:pPr>
        <w:pStyle w:val="FirstParagraph"/>
      </w:pPr>
      <w:r>
        <w:t xml:space="preserve">Czas trwania szkolenia: 30 godzin</w:t>
      </w:r>
      <w:r>
        <w:br w:type="textWrapping"/>
      </w:r>
      <w:r>
        <w:t xml:space="preserve">Formy nauki:</w:t>
      </w:r>
    </w:p>
    <w:p>
      <w:pPr>
        <w:pStyle w:val="Compact"/>
        <w:numPr>
          <w:numId w:val="1004"/>
          <w:ilvl w:val="0"/>
        </w:numPr>
      </w:pPr>
      <w:r>
        <w:t xml:space="preserve">Zajęcia prowadzone przez eksperta w dzidzinie ekonomii i IT</w:t>
      </w:r>
    </w:p>
    <w:p>
      <w:pPr>
        <w:pStyle w:val="Compact"/>
        <w:numPr>
          <w:numId w:val="1004"/>
          <w:ilvl w:val="0"/>
        </w:numPr>
      </w:pPr>
      <w:r>
        <w:t xml:space="preserve">Materiały do nauki,</w:t>
      </w:r>
    </w:p>
    <w:p>
      <w:pPr>
        <w:pStyle w:val="Compact"/>
        <w:numPr>
          <w:numId w:val="1004"/>
          <w:ilvl w:val="0"/>
        </w:numPr>
      </w:pPr>
      <w:r>
        <w:t xml:space="preserve">16 testów</w:t>
      </w:r>
    </w:p>
    <w:p>
      <w:pPr>
        <w:pStyle w:val="Compact"/>
        <w:numPr>
          <w:numId w:val="1004"/>
          <w:ilvl w:val="0"/>
        </w:numPr>
      </w:pPr>
      <w:r>
        <w:t xml:space="preserve">Case study</w:t>
      </w:r>
    </w:p>
    <w:p>
      <w:pPr>
        <w:pStyle w:val="Compact"/>
        <w:numPr>
          <w:numId w:val="1004"/>
          <w:ilvl w:val="0"/>
        </w:numPr>
      </w:pPr>
      <w:r>
        <w:t xml:space="preserve">Ćwiczenia</w:t>
      </w:r>
    </w:p>
    <w:p>
      <w:pPr>
        <w:pStyle w:val="Compact"/>
        <w:numPr>
          <w:numId w:val="1004"/>
          <w:ilvl w:val="0"/>
        </w:numPr>
      </w:pPr>
      <w:r>
        <w:t xml:space="preserve">2 próbki testów egzaminacyjnych</w:t>
      </w:r>
    </w:p>
    <w:p>
      <w:pPr>
        <w:pStyle w:val="Compact"/>
        <w:numPr>
          <w:numId w:val="1004"/>
          <w:ilvl w:val="0"/>
        </w:numPr>
      </w:pPr>
      <w:r>
        <w:t xml:space="preserve">Egzamin końcowy</w:t>
      </w:r>
    </w:p>
    <w:p>
      <w:pPr>
        <w:pStyle w:val="Nagwek1"/>
      </w:pPr>
      <w:bookmarkStart w:id="25" w:name="czas-trwania"/>
      <w:r>
        <w:t xml:space="preserve">Czas trwania</w:t>
      </w:r>
      <w:bookmarkEnd w:id="25"/>
    </w:p>
    <w:p>
      <w:pPr>
        <w:pStyle w:val="Compact"/>
      </w:pPr>
      <w:r>
        <w:t xml:space="preserve">24 godzin dydaktycznych - 3 dni</w:t>
      </w:r>
    </w:p>
    <w:p>
      <w:pPr>
        <w:pStyle w:val="Nagwek1"/>
      </w:pPr>
      <w:bookmarkStart w:id="26" w:name="program-szkolenia"/>
      <w:r>
        <w:t xml:space="preserve">Program szkolenia</w:t>
      </w:r>
      <w:bookmarkEnd w:id="26"/>
    </w:p>
    <w:p>
      <w:pPr>
        <w:pStyle w:val="FirstParagraph"/>
      </w:pPr>
      <w:r>
        <w:rPr>
          <w:b/>
        </w:rPr>
        <w:t xml:space="preserve">Moduł 1: Zrozumienie raportów finansowych - język, struktura, relacja logiczna</w:t>
      </w:r>
    </w:p>
    <w:p>
      <w:pPr>
        <w:pStyle w:val="Tekstpodstawowy"/>
      </w:pPr>
      <w:r>
        <w:t xml:space="preserve">1.1 Zasady rachunkowości.</w:t>
      </w:r>
    </w:p>
    <w:p>
      <w:pPr>
        <w:pStyle w:val="Tekstpodstawowy"/>
      </w:pPr>
      <w:r>
        <w:t xml:space="preserve">1.2 Terminologia rachunkowości stosowana w sprawozdaniach finansowych</w:t>
      </w:r>
    </w:p>
    <w:p>
      <w:pPr>
        <w:pStyle w:val="Tekstpodstawowy"/>
      </w:pPr>
      <w:r>
        <w:t xml:space="preserve">1.3 Bilans, rachunek zysków i strat, przepływy pieniężne - relacje i struktura logiczna.</w:t>
      </w:r>
    </w:p>
    <w:p>
      <w:pPr>
        <w:pStyle w:val="Tekstpodstawowy"/>
      </w:pPr>
      <w:r>
        <w:t xml:space="preserve">1.4 Koszty inwestycyjne i operacyjne.</w:t>
      </w:r>
    </w:p>
    <w:p>
      <w:pPr>
        <w:pStyle w:val="Tekstpodstawowy"/>
      </w:pPr>
      <w:r>
        <w:rPr>
          <w:b/>
        </w:rPr>
        <w:t xml:space="preserve">Moduł 2: Kategorie kosztów i metody ustalania cen</w:t>
      </w:r>
    </w:p>
    <w:p>
      <w:pPr>
        <w:pStyle w:val="Tekstpodstawowy"/>
      </w:pPr>
      <w:r>
        <w:t xml:space="preserve">2.1 Kategorie kosztów: funkcjonalne, zmienne i stałe, bezpośrednie, pośrednie, istotne, nieistotne dla kalkulacji kosztów projektu.</w:t>
      </w:r>
    </w:p>
    <w:p>
      <w:pPr>
        <w:pStyle w:val="Tekstpodstawowy"/>
      </w:pPr>
      <w:r>
        <w:t xml:space="preserve">2.2 Wprowadzenie i stosowanie „metody pomocy”.</w:t>
      </w:r>
    </w:p>
    <w:p>
      <w:pPr>
        <w:pStyle w:val="Tekstpodstawowy"/>
      </w:pPr>
      <w:r>
        <w:t xml:space="preserve">2.3 Centra odpowiedzialności: centra kosztów i zysków.</w:t>
      </w:r>
    </w:p>
    <w:p>
      <w:pPr>
        <w:pStyle w:val="Tekstpodstawowy"/>
      </w:pPr>
      <w:r>
        <w:t xml:space="preserve">2.4 Koszt sprzedaży, koszt sprzedanych towarów i pełna absorpcja kosztów.</w:t>
      </w:r>
    </w:p>
    <w:p>
      <w:pPr>
        <w:pStyle w:val="Tekstpodstawowy"/>
      </w:pPr>
      <w:r>
        <w:t xml:space="preserve">2.5 Metody wyceny. Czynniki wpływające na ustalanie ceny. Elastyczne ceny</w:t>
      </w:r>
    </w:p>
    <w:p>
      <w:pPr>
        <w:pStyle w:val="Tekstpodstawowy"/>
      </w:pPr>
      <w:r>
        <w:rPr>
          <w:b/>
        </w:rPr>
        <w:t xml:space="preserve">Moduł 3. Cele i środki finansowe. Wprowadzenie wskaźników finansowych. Wskaźniki porównawcze: bieżąca płynność, szybka płynność, ROS, ROCE, ROE, ROI, Gearing, Dług itp.</w:t>
      </w:r>
    </w:p>
    <w:p>
      <w:pPr>
        <w:pStyle w:val="Tekstpodstawowy"/>
      </w:pPr>
      <w:r>
        <w:t xml:space="preserve">3.1 Cykl życia organizacji i ich produktów / usług.</w:t>
      </w:r>
    </w:p>
    <w:p>
      <w:pPr>
        <w:pStyle w:val="Tekstpodstawowy"/>
      </w:pPr>
      <w:r>
        <w:t xml:space="preserve">3.2 Analiza finansowa oparta na grupach wskaźników: płynności, rentowności, wydajności, wypłacalności</w:t>
      </w:r>
    </w:p>
    <w:p>
      <w:pPr>
        <w:pStyle w:val="Tekstpodstawowy"/>
      </w:pPr>
      <w:r>
        <w:t xml:space="preserve">3.3 Interpretacja wskaźników finansowych. Benchmarking</w:t>
      </w:r>
    </w:p>
    <w:p>
      <w:pPr>
        <w:pStyle w:val="Tekstpodstawowy"/>
      </w:pPr>
      <w:r>
        <w:t xml:space="preserve">3.4 Obliczanie przepływów pieniężnych za pomocą „metody pośredniej”. Pozycja gotówkowa organizacji</w:t>
      </w:r>
    </w:p>
    <w:p>
      <w:pPr>
        <w:pStyle w:val="Nagwek1"/>
      </w:pPr>
      <w:bookmarkStart w:id="27" w:name="koszt-inwestycji"/>
      <w:r>
        <w:t xml:space="preserve">Koszt inwestycji</w:t>
      </w:r>
      <w:bookmarkEnd w:id="27"/>
    </w:p>
    <w:p>
      <w:pPr>
        <w:pStyle w:val="FirstParagraph"/>
      </w:pPr>
      <w:r>
        <w:t xml:space="preserve">Przy zgłoszeniu do 5 czerwca 2020r. obowiązuje cena 950 zł. Po tym terminie koszt wynosi 1050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05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05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28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29" w:name="informacje-dodatkowe"/>
      <w:r>
        <w:t xml:space="preserve">Informacje dodatkowe</w:t>
      </w:r>
      <w:bookmarkEnd w:id="29"/>
    </w:p>
    <w:p>
      <w:pPr>
        <w:pStyle w:val="FirstParagraph"/>
      </w:pPr>
      <w:r>
        <w:t xml:space="preserve">Uwaga! Szkolenie prowadzone jest wyłącznie w języku angielskim.</w:t>
      </w:r>
    </w:p>
    <w:p>
      <w:pPr>
        <w:pStyle w:val="Nagwek1"/>
      </w:pPr>
      <w:bookmarkStart w:id="30" w:name="kontakt"/>
      <w:r>
        <w:t xml:space="preserve">Kontakt</w:t>
      </w:r>
      <w:bookmarkEnd w:id="30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01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1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9F" w:rsidRDefault="00B67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024016"/>
      <w:docPartObj>
        <w:docPartGallery w:val="Page Numbers (Bottom of Page)"/>
        <w:docPartUnique/>
      </w:docPartObj>
    </w:sdtPr>
    <w:sdtEndPr/>
    <w:sdtContent>
      <w:p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ul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01 Fax. 22 460 46 04</w:t>
    </w:r>
    <w:r>
      <w:rPr>
        <w:rFonts w:ascii="Segoe UI" w:hAnsi="Segoe UI" w:cs="Segoe UI"/>
        <w:color w:val="636C72"/>
        <w:sz w:val="17"/>
        <w:szCs w:val="17"/>
      </w:rPr>
      <w:br/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Reserverd.</w:t>
    </w:r>
    <w:bookmarkStart w:id="9" w:name="_GoBack"/>
    <w:bookmarkEnd w:id="9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9F" w:rsidRDefault="00B6729F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9F" w:rsidRDefault="00B67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9F" w:rsidRDefault="00B67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67ed1ee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534afac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983e028c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1" Target="/cdn-cgi/l/email-protection" TargetMode="External" /><Relationship Type="http://schemas.openxmlformats.org/officeDocument/2006/relationships/hyperlink" Id="rId28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/cdn-cgi/l/email-protection" TargetMode="External" /><Relationship Type="http://schemas.openxmlformats.org/officeDocument/2006/relationships/hyperlink" Id="rId28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Business Economics for IT Specialist</dc:title>
  <dc:creator/>
  <cp:keywords/>
  <dcterms:created xsi:type="dcterms:W3CDTF">2020-06-04T03:14:30Z</dcterms:created>
  <dcterms:modified xsi:type="dcterms:W3CDTF">2020-06-04T03:14:30Z</dcterms:modified>
</cp:coreProperties>
</file>