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ytu"/>
      </w:pPr>
      <w:r>
        <w:t xml:space="preserve">Szkolenie</w:t>
      </w:r>
      <w:r>
        <w:t xml:space="preserve"> </w:t>
      </w:r>
      <w:r>
        <w:t xml:space="preserve">online:</w:t>
      </w:r>
      <w:r>
        <w:t xml:space="preserve"> </w:t>
      </w:r>
      <w:r>
        <w:t xml:space="preserve">Effective</w:t>
      </w:r>
      <w:r>
        <w:t xml:space="preserve"> </w:t>
      </w:r>
      <w:r>
        <w:t xml:space="preserve">Documentation</w:t>
      </w:r>
      <w:r>
        <w:t xml:space="preserve"> </w:t>
      </w:r>
      <w:r>
        <w:t xml:space="preserve">in</w:t>
      </w:r>
      <w:r>
        <w:t xml:space="preserve"> </w:t>
      </w:r>
      <w:r>
        <w:t xml:space="preserve">Software</w:t>
      </w:r>
      <w:r>
        <w:t xml:space="preserve"> </w:t>
      </w:r>
      <w:r>
        <w:t xml:space="preserve">Production</w:t>
      </w:r>
    </w:p>
    <w:p>
      <w:pPr>
        <w:pStyle w:val="Nagwek1"/>
      </w:pPr>
      <w:bookmarkStart w:id="23" w:name="opis-szkolenia-i-cel"/>
      <w:r>
        <w:t xml:space="preserve">Opis szkolenia i cel</w:t>
      </w:r>
      <w:bookmarkEnd w:id="23"/>
    </w:p>
    <w:p>
      <w:pPr>
        <w:pStyle w:val="Nagwek4"/>
      </w:pPr>
      <w:bookmarkStart w:id="24" w:name="uwaga-szkolenie-prowadzone-wyłącznie-w-języku-angielskim"/>
      <w:r>
        <w:t xml:space="preserve">Uwaga! Szkolenie prowadzone wyłącznie w języku angielskim!</w:t>
      </w:r>
      <w:bookmarkEnd w:id="24"/>
    </w:p>
    <w:p>
      <w:pPr>
        <w:pStyle w:val="FirstParagraph"/>
      </w:pPr>
      <w:r>
        <w:t xml:space="preserve">Kurs obrazuje organizację tworzenia i utrzymywania typowych kategorii dokumentów, zarówno do wewnętrznych celów organizacji oprogramowania, jak i na potrzeby klientów i użytkowników. Zawiera wskazówki dotyczące struktury i zawartości ważnych dokumentów, takich jak specyfikacja wymagań oprogramowania, kod programu, scenariusze testowe, dokumentacja użytkownika.</w:t>
      </w:r>
    </w:p>
    <w:p>
      <w:pPr>
        <w:pStyle w:val="Nagwek1"/>
      </w:pPr>
      <w:bookmarkStart w:id="25" w:name="korzyści-dla-uczestników"/>
      <w:r>
        <w:t xml:space="preserve">Korzyści dla uczestników</w:t>
      </w:r>
      <w:bookmarkEnd w:id="25"/>
    </w:p>
    <w:p>
      <w:pPr>
        <w:pStyle w:val="Compact"/>
        <w:numPr>
          <w:numId w:val="1001"/>
          <w:ilvl w:val="0"/>
        </w:numPr>
      </w:pPr>
      <w:r>
        <w:t xml:space="preserve">Czas trwania szkolenia: 3 dni</w:t>
      </w:r>
    </w:p>
    <w:p>
      <w:pPr>
        <w:pStyle w:val="Compact"/>
        <w:numPr>
          <w:numId w:val="1001"/>
          <w:ilvl w:val="0"/>
        </w:numPr>
      </w:pPr>
      <w:r>
        <w:t xml:space="preserve">Formy nauki:</w:t>
      </w:r>
    </w:p>
    <w:p>
      <w:pPr>
        <w:pStyle w:val="Compact"/>
        <w:numPr>
          <w:numId w:val="1002"/>
          <w:ilvl w:val="1"/>
        </w:numPr>
      </w:pPr>
      <w:r>
        <w:t xml:space="preserve">Zajęcia prowadzone przez eksperta w zakresie dokumentowania software</w:t>
      </w:r>
    </w:p>
    <w:p>
      <w:pPr>
        <w:pStyle w:val="Compact"/>
        <w:numPr>
          <w:numId w:val="1001"/>
          <w:ilvl w:val="0"/>
        </w:numPr>
      </w:pPr>
      <w:r>
        <w:t xml:space="preserve">W cenie szkolenia zawarte są:</w:t>
      </w:r>
    </w:p>
    <w:p>
      <w:pPr>
        <w:pStyle w:val="Compact"/>
        <w:numPr>
          <w:numId w:val="1003"/>
          <w:ilvl w:val="1"/>
        </w:numPr>
      </w:pPr>
      <w:r>
        <w:t xml:space="preserve">książkę </w:t>
      </w:r>
    </w:p>
    <w:p>
      <w:pPr>
        <w:pStyle w:val="Compact"/>
        <w:numPr>
          <w:numId w:val="1003"/>
          <w:ilvl w:val="1"/>
        </w:numPr>
      </w:pPr>
      <w:r>
        <w:t xml:space="preserve">przykłady biznesowe ,</w:t>
      </w:r>
    </w:p>
    <w:p>
      <w:pPr>
        <w:pStyle w:val="Compact"/>
        <w:numPr>
          <w:numId w:val="1003"/>
          <w:ilvl w:val="1"/>
        </w:numPr>
      </w:pPr>
      <w:r>
        <w:t xml:space="preserve">warsztaty,</w:t>
      </w:r>
    </w:p>
    <w:p>
      <w:pPr>
        <w:pStyle w:val="Compact"/>
        <w:numPr>
          <w:numId w:val="1003"/>
          <w:ilvl w:val="1"/>
        </w:numPr>
      </w:pPr>
      <w:r>
        <w:t xml:space="preserve">certyfikat wydany przez Progress Project</w:t>
      </w:r>
    </w:p>
    <w:p>
      <w:pPr>
        <w:pStyle w:val="Nagwek1"/>
      </w:pPr>
      <w:bookmarkStart w:id="26" w:name="czas-trwania"/>
      <w:r>
        <w:t xml:space="preserve">Czas trwania</w:t>
      </w:r>
      <w:bookmarkEnd w:id="26"/>
    </w:p>
    <w:p>
      <w:pPr>
        <w:pStyle w:val="Compact"/>
      </w:pPr>
      <w:r>
        <w:t xml:space="preserve">24 godzin dydaktycznych - 3 dni</w:t>
      </w:r>
    </w:p>
    <w:p>
      <w:pPr>
        <w:pStyle w:val="Nagwek1"/>
      </w:pPr>
      <w:bookmarkStart w:id="27" w:name="program-szkolenia"/>
      <w:r>
        <w:t xml:space="preserve">Program szkolenia</w:t>
      </w:r>
      <w:bookmarkEnd w:id="27"/>
    </w:p>
    <w:p>
      <w:pPr>
        <w:pStyle w:val="FirstParagraph"/>
      </w:pPr>
      <w:r>
        <w:rPr>
          <w:b/>
        </w:rPr>
        <w:t xml:space="preserve">Moduł 1: Dokumentacja techniczna dla rozwoju oprogramowania</w:t>
      </w:r>
    </w:p>
    <w:p>
      <w:pPr>
        <w:pStyle w:val="Compact"/>
        <w:numPr>
          <w:numId w:val="1004"/>
          <w:ilvl w:val="0"/>
        </w:numPr>
      </w:pPr>
      <w:r>
        <w:t xml:space="preserve">Wprowadzenie.</w:t>
      </w:r>
    </w:p>
    <w:p>
      <w:pPr>
        <w:pStyle w:val="Compact"/>
        <w:numPr>
          <w:numId w:val="1004"/>
          <w:ilvl w:val="0"/>
        </w:numPr>
      </w:pPr>
      <w:r>
        <w:t xml:space="preserve">Dlaczego dokumentacja techniczna jest ważna?</w:t>
      </w:r>
    </w:p>
    <w:p>
      <w:pPr>
        <w:pStyle w:val="Compact"/>
        <w:numPr>
          <w:numId w:val="1004"/>
          <w:ilvl w:val="0"/>
        </w:numPr>
      </w:pPr>
      <w:r>
        <w:t xml:space="preserve">Dokumentacja - środek komunikacji między organizacją oprogramowania a klientem oraz w firmie / zespole.</w:t>
      </w:r>
    </w:p>
    <w:p>
      <w:pPr>
        <w:pStyle w:val="Compact"/>
        <w:numPr>
          <w:numId w:val="1004"/>
          <w:ilvl w:val="0"/>
        </w:numPr>
      </w:pPr>
      <w:r>
        <w:t xml:space="preserve">Typowe kategorie dokumentacji technicznej dotyczącej cyklu życia oprogramowania.</w:t>
      </w:r>
    </w:p>
    <w:p>
      <w:pPr>
        <w:pStyle w:val="FirstParagraph"/>
      </w:pPr>
      <w:r>
        <w:br w:type="textWrapping"/>
      </w:r>
      <w:r>
        <w:rPr>
          <w:b/>
        </w:rPr>
        <w:t xml:space="preserve">Moduł 2: Integracja tworzenia i utrzymywania dokumentacji technicznej w procesie tworzenia oprogramowania</w:t>
      </w:r>
    </w:p>
    <w:p>
      <w:pPr>
        <w:pStyle w:val="Compact"/>
        <w:numPr>
          <w:numId w:val="1005"/>
          <w:ilvl w:val="0"/>
        </w:numPr>
      </w:pPr>
      <w:r>
        <w:t xml:space="preserve">Dlaczego tworzenie i utrzymanie dokumentacji technicznej powinno być wbudowane w procesy produkcji, dostawy, eksploatacji, konserwacji i rozwoju oprogramowania?</w:t>
      </w:r>
    </w:p>
    <w:p>
      <w:pPr>
        <w:pStyle w:val="Compact"/>
        <w:numPr>
          <w:numId w:val="1005"/>
          <w:ilvl w:val="0"/>
        </w:numPr>
      </w:pPr>
      <w:r>
        <w:t xml:space="preserve">Typowe etapy cyklu życia oprogramowania i typowe kategorie dokumentów. Dokumenty i zapisy. Ogólne wymagania dotyczące procesu zarządzania dokumentami.</w:t>
      </w:r>
    </w:p>
    <w:p>
      <w:pPr>
        <w:pStyle w:val="FirstParagraph"/>
      </w:pPr>
      <w:r>
        <w:br w:type="textWrapping"/>
      </w:r>
      <w:r>
        <w:rPr>
          <w:b/>
        </w:rPr>
        <w:t xml:space="preserve">Moduł 3: Typowe kategorie dokumentacji technicznej oprogramowania</w:t>
      </w:r>
    </w:p>
    <w:p>
      <w:pPr>
        <w:pStyle w:val="Compact"/>
        <w:numPr>
          <w:numId w:val="1006"/>
          <w:ilvl w:val="0"/>
        </w:numPr>
      </w:pPr>
      <w:r>
        <w:t xml:space="preserve">Dokumentacja skierowana do wewnątrz - skierowana do firmy produkującej oprogramowanie.</w:t>
      </w:r>
    </w:p>
    <w:p>
      <w:pPr>
        <w:pStyle w:val="Compact"/>
        <w:numPr>
          <w:numId w:val="1006"/>
          <w:ilvl w:val="0"/>
        </w:numPr>
      </w:pPr>
      <w:r>
        <w:t xml:space="preserve">Ukierunkowany na zewnątrz w stosunku do klientów i użytkowników.</w:t>
      </w:r>
    </w:p>
    <w:p>
      <w:pPr>
        <w:pStyle w:val="Compact"/>
        <w:numPr>
          <w:numId w:val="1006"/>
          <w:ilvl w:val="0"/>
        </w:numPr>
      </w:pPr>
      <w:r>
        <w:t xml:space="preserve">Dokumentowanie wymagań oprogramowania dla kaskad i zwinnych projektów.</w:t>
      </w:r>
    </w:p>
    <w:p>
      <w:pPr>
        <w:pStyle w:val="Compact"/>
        <w:numPr>
          <w:numId w:val="1006"/>
          <w:ilvl w:val="0"/>
        </w:numPr>
      </w:pPr>
      <w:r>
        <w:t xml:space="preserve">Wytyczne dotyczące tworzenia jakościowych instrukcji obsługi. Przykłady struktur dokumentów i szablonów.</w:t>
      </w:r>
    </w:p>
    <w:p>
      <w:pPr>
        <w:pStyle w:val="FirstParagraph"/>
      </w:pPr>
      <w:r>
        <w:br w:type="textWrapping"/>
      </w:r>
      <w:r>
        <w:rPr>
          <w:b/>
        </w:rPr>
        <w:t xml:space="preserve">Moduł 4: Typowe role w tworzeniu dokumentacji oprogramowania</w:t>
      </w:r>
    </w:p>
    <w:p>
      <w:pPr>
        <w:pStyle w:val="Compact"/>
        <w:numPr>
          <w:numId w:val="1007"/>
          <w:ilvl w:val="0"/>
        </w:numPr>
      </w:pPr>
      <w:r>
        <w:t xml:space="preserve">Kierownik ds. Organizacji oprogramowania, kierownik zespołu SW, inżynierowie SW, inżynierowie testów, liderzy i członkowie zespołów analityki biznesowej,</w:t>
      </w:r>
    </w:p>
    <w:p>
      <w:pPr>
        <w:pStyle w:val="Compact"/>
        <w:numPr>
          <w:numId w:val="1007"/>
          <w:ilvl w:val="0"/>
        </w:numPr>
      </w:pPr>
      <w:r>
        <w:t xml:space="preserve">testowanie i kontrola jakości, kierownicy i członkowie zespołu Service Desk i wsparcia oprogramowania. Zapewnienie jakości dokumentacji.</w:t>
      </w:r>
    </w:p>
    <w:p>
      <w:pPr>
        <w:pStyle w:val="FirstParagraph"/>
      </w:pPr>
      <w:r>
        <w:br w:type="textWrapping"/>
      </w:r>
      <w:r>
        <w:rPr>
          <w:b/>
        </w:rPr>
        <w:t xml:space="preserve">Moduł 5: Narzędzia zarządzania dokumentami</w:t>
      </w:r>
    </w:p>
    <w:p>
      <w:pPr>
        <w:pStyle w:val="Compact"/>
        <w:numPr>
          <w:numId w:val="1008"/>
          <w:ilvl w:val="0"/>
        </w:numPr>
      </w:pPr>
      <w:r>
        <w:t xml:space="preserve">Zarządzaj wersjami i wydaniami dokumentacji.</w:t>
      </w:r>
    </w:p>
    <w:p>
      <w:pPr>
        <w:pStyle w:val="Compact"/>
        <w:numPr>
          <w:numId w:val="1008"/>
          <w:ilvl w:val="0"/>
        </w:numPr>
      </w:pPr>
      <w:r>
        <w:t xml:space="preserve">Przykład kooperacyjnej platformy roboczej i jej wykorzystanie do modelowania i zarządzania całym procesem tworzenia i utrzymywania dokumentacji technicznej oprogramowania.</w:t>
      </w:r>
    </w:p>
    <w:p>
      <w:pPr>
        <w:pStyle w:val="FirstParagraph"/>
      </w:pPr>
      <w:r>
        <w:br w:type="textWrapping"/>
      </w:r>
      <w:r>
        <w:rPr>
          <w:b/>
        </w:rPr>
        <w:t xml:space="preserve">Moduł 6: Warsztat</w:t>
      </w:r>
    </w:p>
    <w:p>
      <w:pPr>
        <w:pStyle w:val="Compact"/>
        <w:numPr>
          <w:numId w:val="1009"/>
          <w:ilvl w:val="0"/>
        </w:numPr>
      </w:pPr>
      <w:r>
        <w:t xml:space="preserve">Organizowanie procesu dokumentacji technicznej i ćwiczeń w celu stworzenia oprogramowania</w:t>
      </w:r>
    </w:p>
    <w:p>
      <w:pPr>
        <w:pStyle w:val="Nagwek1"/>
      </w:pPr>
      <w:bookmarkStart w:id="28" w:name="koszt-inwestycji"/>
      <w:r>
        <w:t xml:space="preserve">Koszt inwestycji</w:t>
      </w:r>
      <w:bookmarkEnd w:id="28"/>
    </w:p>
    <w:p>
      <w:pPr>
        <w:pStyle w:val="FirstParagraph"/>
      </w:pPr>
      <w:r>
        <w:t xml:space="preserve">!!! Przy zgłoszeniu do 19 luty 2021r. obowiązuje cena 950 zł. Po tym terminie koszt wynosi 1050 zł. </w:t>
      </w:r>
    </w:p>
    <w:p>
      <w:pPr>
        <w:pStyle w:val="Tekstpodstawowy"/>
      </w:pPr>
      <w:r>
        <w:t xml:space="preserve">Cena dotyczy jednej osoby i zawiera: udział w szkoleniu, materiały szkoleniowe, obiad, przerwy kawowe, certyfikat ukończenia szkolenia.</w:t>
      </w:r>
    </w:p>
    <w:p>
      <w:pPr>
        <w:pStyle w:val="Tekstpodstawowy"/>
      </w:pPr>
      <w:r>
        <w:t xml:space="preserve">Do podanej powyżej kwoty zostanie doliczony VAT w wysokości 23%.</w:t>
      </w:r>
    </w:p>
    <w:p>
      <w:pPr>
        <w:pStyle w:val="Tekstpodstawowy"/>
      </w:pPr>
      <w:r>
        <w:t xml:space="preserve">!!Dla instytucji budżetowych i pozostałych firm, które szkolenie finansują w ponad 70% z środków publicznych, istnieje możliwość wystawienia faktury VAT bez podatku VAT (ze stawką zwolnioną).</w:t>
      </w:r>
    </w:p>
    <w:p>
      <w:pPr>
        <w:pStyle w:val="Tekstpodstawowy"/>
      </w:pPr>
      <w:r>
        <w:t xml:space="preserve">Aby uzyskać taką fakturę należy:</w:t>
      </w:r>
    </w:p>
    <w:p>
      <w:pPr>
        <w:pStyle w:val="Compact"/>
        <w:numPr>
          <w:numId w:val="1010"/>
          <w:ilvl w:val="0"/>
        </w:numPr>
      </w:pPr>
      <w:r>
        <w:t xml:space="preserve">pokryć koszt szkolenia w przynajmniej 70% z środków publicznych,</w:t>
      </w:r>
    </w:p>
    <w:p>
      <w:pPr>
        <w:pStyle w:val="Compact"/>
        <w:numPr>
          <w:numId w:val="1010"/>
          <w:ilvl w:val="0"/>
        </w:numPr>
      </w:pPr>
      <w:r>
        <w:t xml:space="preserve">przesłać do nas podpisane oświadczenie o finansowaniu usługi szkoleniowej ze środków publicznych.</w:t>
      </w:r>
    </w:p>
    <w:p>
      <w:pPr>
        <w:pStyle w:val="FirstParagraph"/>
      </w:pPr>
      <w:hyperlink r:id="rId29">
        <w:r>
          <w:rPr>
            <w:rStyle w:val="Hipercze"/>
          </w:rPr>
          <w:t xml:space="preserve">Wzór oświadczenia do pobrania</w:t>
        </w:r>
      </w:hyperlink>
    </w:p>
    <w:p>
      <w:pPr>
        <w:pStyle w:val="Nagwek1"/>
      </w:pPr>
      <w:bookmarkStart w:id="30" w:name="informacje-dodatkowe"/>
      <w:r>
        <w:t xml:space="preserve">Informacje dodatkowe</w:t>
      </w:r>
      <w:bookmarkEnd w:id="30"/>
    </w:p>
    <w:p>
      <w:pPr>
        <w:pStyle w:val="FirstParagraph"/>
      </w:pPr>
      <w:r>
        <w:rPr>
          <w:b/>
        </w:rPr>
        <w:t xml:space="preserve">Szkolenie realizowane w trybie on-line.</w:t>
      </w:r>
    </w:p>
    <w:p>
      <w:pPr>
        <w:pStyle w:val="Nagwek1"/>
      </w:pPr>
      <w:bookmarkStart w:id="31" w:name="kontakt"/>
      <w:r>
        <w:t xml:space="preserve">Kontakt</w:t>
      </w:r>
      <w:bookmarkEnd w:id="31"/>
    </w:p>
    <w:p>
      <w:pPr>
        <w:pStyle w:val="FirstParagraph"/>
      </w:pPr>
      <w:r>
        <w:t xml:space="preserve">Zapraszamy do kontaktu,</w:t>
      </w:r>
      <w:r>
        <w:br w:type="textWrapping"/>
      </w:r>
      <w:r>
        <w:rPr>
          <w:b/>
        </w:rPr>
        <w:t xml:space="preserve">Progress Project Sp. z o.o.</w:t>
      </w:r>
      <w:r>
        <w:br w:type="textWrapping"/>
      </w:r>
      <w:r>
        <w:t xml:space="preserve">ul. Światowa 22</w:t>
      </w:r>
      <w:r>
        <w:br w:type="textWrapping"/>
      </w:r>
      <w:r>
        <w:t xml:space="preserve">02-229 Warszawa</w:t>
      </w:r>
      <w:r>
        <w:br w:type="textWrapping"/>
      </w:r>
      <w:r>
        <w:t xml:space="preserve">tel.: 22 460 46 00</w:t>
      </w:r>
      <w:r>
        <w:br w:type="textWrapping"/>
      </w:r>
      <w:r>
        <w:t xml:space="preserve">fax: 22 460 46 04</w:t>
      </w:r>
      <w:r>
        <w:br w:type="textWrapping"/>
      </w:r>
      <w:r>
        <w:t xml:space="preserve">email:</w:t>
      </w:r>
      <w:r>
        <w:t xml:space="preserve"> </w:t>
      </w:r>
      <w:hyperlink r:id="rId32">
        <w:r>
          <w:rPr>
            <w:rStyle w:val="Hipercze"/>
          </w:rPr>
          <w:t xml:space="preserve">[email protected]</w:t>
        </w:r>
      </w:hyperlink>
      <w:r>
        <w:br w:type="textWrapping"/>
      </w:r>
      <w:r>
        <w:t xml:space="preserve">www.progressproject.pl</w:t>
      </w:r>
      <w:r>
        <w:br w:type="textWrapping"/>
      </w:r>
    </w:p>
    <w:sectPr w:rsidR="00E81404" w:rsidSect="00583B03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2024016"/>
      <w:docPartObj>
        <w:docPartGallery w:val="Page Numbers (Bottom of Page)"/>
        <w:docPartUnique/>
      </w:docPartObj>
    </w:sdtPr>
    <w:sdtEndPr/>
    <w:sdtContent>
      <w:p w14:paraId="47BAF528" w14:textId="77777777" w:rsidR="00583B03" w:rsidRDefault="00583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9F" w:rsidRPr="00B6729F">
          <w:rPr>
            <w:noProof/>
            <w:lang w:val="pl-PL"/>
          </w:rPr>
          <w:t>7</w:t>
        </w:r>
        <w:r>
          <w:fldChar w:fldCharType="end"/>
        </w:r>
      </w:p>
    </w:sdtContent>
  </w:sdt>
  <w:p w14:paraId="6A5BD3E6" w14:textId="20831C2E" w:rsidR="00583B03" w:rsidRDefault="00583B03">
    <w:pPr>
      <w:pStyle w:val="Stopka"/>
    </w:pP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Organizator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 xml:space="preserve">Progress Project Sp. z </w:t>
    </w:r>
    <w:proofErr w:type="spellStart"/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o.o</w:t>
    </w:r>
    <w:proofErr w:type="spellEnd"/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.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ul. </w:t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Światowa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22, 02-229 Warszawa NIP: 525-238-26-47 Tel. 22 460 46 0</w:t>
    </w:r>
    <w:r w:rsidR="004A1517">
      <w:rPr>
        <w:rFonts w:ascii="Segoe UI" w:hAnsi="Segoe UI" w:cs="Segoe UI"/>
        <w:color w:val="636C72"/>
        <w:sz w:val="17"/>
        <w:szCs w:val="17"/>
        <w:shd w:val="clear" w:color="auto" w:fill="FFFFFF"/>
      </w:rPr>
      <w:t>0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Fax. 22 460 46 04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Nr </w:t>
    </w:r>
    <w:proofErr w:type="spellStart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konta</w:t>
    </w:r>
    <w:proofErr w:type="spellEnd"/>
    <w:r>
      <w:rPr>
        <w:rFonts w:ascii="Segoe UI" w:hAnsi="Segoe UI" w:cs="Segoe UI"/>
        <w:color w:val="636C72"/>
        <w:sz w:val="17"/>
        <w:szCs w:val="17"/>
        <w:shd w:val="clear" w:color="auto" w:fill="FFFFFF"/>
      </w:rPr>
      <w:t>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36 1030 0019 0109 8530 0047 0604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 www.progressproject.pl biuro@progressproject.pl</w:t>
    </w:r>
    <w:r>
      <w:rPr>
        <w:rFonts w:ascii="Segoe UI" w:hAnsi="Segoe UI" w:cs="Segoe UI"/>
        <w:color w:val="636C72"/>
        <w:sz w:val="17"/>
        <w:szCs w:val="17"/>
      </w:rPr>
      <w:br/>
    </w:r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 xml:space="preserve">Copyright 2017 by Progress Project Sp. z </w:t>
    </w:r>
    <w:proofErr w:type="spellStart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o.o</w:t>
    </w:r>
    <w:proofErr w:type="spellEnd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 xml:space="preserve">. All Rights </w:t>
    </w:r>
    <w:proofErr w:type="spellStart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Reserverd</w:t>
    </w:r>
    <w:proofErr w:type="spellEnd"/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.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A7A45" w14:textId="77777777" w:rsidR="00583B03" w:rsidRDefault="00583B03" w:rsidP="00583B03">
    <w:pPr>
      <w:pStyle w:val="Nagwek"/>
      <w:ind w:left="-426"/>
    </w:pPr>
    <w:r>
      <w:rPr>
        <w:noProof/>
      </w:rPr>
      <w:drawing>
        <wp:inline distT="0" distB="0" distL="0" distR="0" wp14:anchorId="6A9503D0" wp14:editId="71C02564">
          <wp:extent cx="1954800" cy="9151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9151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93198B"/>
    <w:multiLevelType w:val="multilevel"/>
    <w:tmpl w:val="A8AC45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  <w:rPr>
        <w:rFonts w:hint="default"/>
      </w:rPr>
    </w:lvl>
  </w:abstractNum>
  <w:abstractNum w:abstractNumId="1" w15:restartNumberingAfterBreak="0">
    <w:nsid w:val="E94252CD"/>
    <w:multiLevelType w:val="multilevel"/>
    <w:tmpl w:val="3AD214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FFFFFF7C"/>
    <w:multiLevelType w:val="singleLevel"/>
    <w:tmpl w:val="D9ECA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A4E8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A683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0506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A996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01AA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6F42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C338C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D0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2AA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A02E52"/>
    <w:multiLevelType w:val="multilevel"/>
    <w:tmpl w:val="06E24A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1122a24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c807e24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2C5C"/>
  </w:style>
  <w:style w:type="paragraph" w:styleId="Nagwek1">
    <w:name w:val="heading 1"/>
    <w:basedOn w:val="Normalny"/>
    <w:next w:val="Normalny"/>
    <w:link w:val="Nagwek1Znak"/>
    <w:uiPriority w:val="9"/>
    <w:qFormat/>
    <w:rsid w:val="00446B7B"/>
    <w:pPr>
      <w:pBdr>
        <w:top w:val="single" w:sz="48" w:space="0" w:color="0F6FC6" w:themeColor="accent1"/>
        <w:left w:val="single" w:sz="48" w:space="0" w:color="0F6FC6" w:themeColor="accent1"/>
        <w:bottom w:val="single" w:sz="48" w:space="0" w:color="0F6FC6" w:themeColor="accent1"/>
        <w:right w:val="single" w:sz="48" w:space="0" w:color="0F6FC6" w:themeColor="accent1"/>
      </w:pBdr>
      <w:shd w:val="clear" w:color="auto" w:fill="0F6FC6" w:themeFill="accent1"/>
      <w:spacing w:before="240" w:after="120" w:line="240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AE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E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5AE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5AE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5AE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A5AE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A5A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A5A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</w:style>
  <w:style w:type="paragraph" w:customStyle="1" w:styleId="Compact">
    <w:name w:val="Compact"/>
    <w:basedOn w:val="Tekstpodstawowy"/>
    <w:pPr>
      <w:spacing w:before="36" w:after="36"/>
    </w:pPr>
  </w:style>
  <w:style w:type="paragraph" w:styleId="Tytu">
    <w:name w:val="Title"/>
    <w:basedOn w:val="Normalny"/>
    <w:next w:val="Normalny"/>
    <w:link w:val="TytuZnak"/>
    <w:uiPriority w:val="10"/>
    <w:qFormat/>
    <w:rsid w:val="005A5AE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AEF"/>
    <w:pPr>
      <w:spacing w:before="0" w:after="500" w:line="240" w:lineRule="auto"/>
    </w:pPr>
    <w:rPr>
      <w:caps/>
      <w:color w:val="337FD4" w:themeColor="text1" w:themeTint="A6"/>
      <w:spacing w:val="10"/>
      <w:sz w:val="21"/>
      <w:szCs w:val="21"/>
    </w:rPr>
  </w:style>
  <w:style w:type="paragraph" w:customStyle="1" w:styleId="Author">
    <w:name w:val="Author"/>
    <w:next w:val="Tekstpodstawowy"/>
    <w:pPr>
      <w:keepNext/>
      <w:keepLines/>
      <w:jc w:val="center"/>
    </w:pPr>
  </w:style>
  <w:style w:type="paragraph" w:styleId="Data">
    <w:name w:val="Date"/>
    <w:next w:val="Tekstpodstawowy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</w:style>
  <w:style w:type="paragraph" w:styleId="Tekstblokowy">
    <w:name w:val="Block Text"/>
    <w:basedOn w:val="Tekstpodstawowy"/>
    <w:next w:val="Tekstpodstawowy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A5AEF"/>
    <w:rPr>
      <w:b/>
      <w:bCs/>
      <w:color w:val="0B5294" w:themeColor="accent1" w:themeShade="BF"/>
      <w:sz w:val="16"/>
      <w:szCs w:val="16"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Pr>
      <w:b/>
      <w:bCs/>
      <w:color w:val="0B5294" w:themeColor="accent1" w:themeShade="BF"/>
      <w:sz w:val="16"/>
      <w:szCs w:val="16"/>
    </w:rPr>
  </w:style>
  <w:style w:type="character" w:customStyle="1" w:styleId="VerbatimChar">
    <w:name w:val="Verbatim Char"/>
    <w:basedOn w:val="LegendaZnak"/>
    <w:link w:val="SourceCode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styleId="Odwoanieprzypisudolnego">
    <w:name w:val="footnote reference"/>
    <w:basedOn w:val="LegendaZnak"/>
    <w:rPr>
      <w:b/>
      <w:bCs/>
      <w:color w:val="0B5294" w:themeColor="accent1" w:themeShade="BF"/>
      <w:sz w:val="16"/>
      <w:szCs w:val="16"/>
      <w:vertAlign w:val="superscript"/>
    </w:rPr>
  </w:style>
  <w:style w:type="character" w:styleId="Hipercze">
    <w:name w:val="Hyperlink"/>
    <w:basedOn w:val="LegendaZnak"/>
    <w:rPr>
      <w:b/>
      <w:bCs/>
      <w:color w:val="0F6FC6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5AEF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446B7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A5AEF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A5AEF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A5AE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A5AEF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A5AE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5AEF"/>
    <w:rPr>
      <w:caps/>
      <w:color w:val="337FD4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A5AEF"/>
    <w:rPr>
      <w:b/>
      <w:bCs/>
    </w:rPr>
  </w:style>
  <w:style w:type="character" w:styleId="Uwydatnienie">
    <w:name w:val="Emphasis"/>
    <w:uiPriority w:val="20"/>
    <w:qFormat/>
    <w:rsid w:val="005A5AEF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5A5A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5A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A5AE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AEF"/>
    <w:pPr>
      <w:spacing w:before="240" w:line="240" w:lineRule="auto"/>
      <w:ind w:left="1080" w:right="1080"/>
      <w:jc w:val="center"/>
    </w:pPr>
    <w:rPr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AEF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5A5AEF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5A5AEF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5A5AEF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5A5AEF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5A5AEF"/>
    <w:rPr>
      <w:b/>
      <w:bCs/>
      <w:i/>
      <w:iCs/>
      <w:spacing w:val="0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paragraph" w:styleId="Nagwek">
    <w:name w:val="header"/>
    <w:basedOn w:val="Normalny"/>
    <w:link w:val="NagwekZnak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02CFB"/>
  </w:style>
  <w:style w:type="character" w:customStyle="1" w:styleId="NagwekZnak">
    <w:name w:val="Nagłówek Znak"/>
    <w:basedOn w:val="Domylnaczcionkaakapitu"/>
    <w:link w:val="Nagwek"/>
    <w:rsid w:val="00583B03"/>
  </w:style>
  <w:style w:type="paragraph" w:styleId="Stopka">
    <w:name w:val="footer"/>
    <w:basedOn w:val="Normalny"/>
    <w:link w:val="StopkaZnak"/>
    <w:uiPriority w:val="99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03"/>
  </w:style>
  <w:style w:type="character" w:styleId="Nierozpoznanawzmianka">
    <w:name w:val="Unresolved Mention"/>
    <w:basedOn w:val="Domylnaczcionkaakapitu"/>
    <w:uiPriority w:val="99"/>
    <w:semiHidden/>
    <w:unhideWhenUsed/>
    <w:rsid w:val="00583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Type="http://schemas.openxmlformats.org/officeDocument/2006/relationships/hyperlink" Id="rId32" Target="/cdn-cgi/l/email-protection" TargetMode="External" /><Relationship Type="http://schemas.openxmlformats.org/officeDocument/2006/relationships/hyperlink" Id="rId29" Target="https://pliki.progressproject.pl/pliki/img/common/oswiadczenie_o_finansowaniu_wzor_13.09.2019.doc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/cdn-cgi/l/email-protection" TargetMode="External" /><Relationship Type="http://schemas.openxmlformats.org/officeDocument/2006/relationships/hyperlink" Id="rId29" Target="https://pliki.progressproject.pl/pliki/img/common/oswiadczenie_o_finansowaniu_wzor_13.09.2019.docx" TargetMode="Externa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gressProject">
      <a:dk1>
        <a:srgbClr val="17406D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4118</TotalTime>
  <Pages>7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Controlling w logistyce - Controlling operacyjny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online: Effective Documentation in Software Production</dc:title>
  <dc:creator/>
  <cp:keywords/>
  <dcterms:created xsi:type="dcterms:W3CDTF">2021-02-12T08:13:18Z</dcterms:created>
  <dcterms:modified xsi:type="dcterms:W3CDTF">2021-02-12T08:13:18Z</dcterms:modified>
</cp:coreProperties>
</file>