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media/image1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ytu"/>
      </w:pPr>
      <w:r>
        <w:t xml:space="preserve">Onboarding</w:t>
      </w:r>
      <w:r>
        <w:t xml:space="preserve"> </w:t>
      </w:r>
      <w:r>
        <w:t xml:space="preserve">-</w:t>
      </w:r>
      <w:r>
        <w:t xml:space="preserve"> </w:t>
      </w:r>
      <w:r>
        <w:t xml:space="preserve">Wdrożenie</w:t>
      </w:r>
      <w:r>
        <w:t xml:space="preserve"> </w:t>
      </w:r>
      <w:r>
        <w:t xml:space="preserve">nowego</w:t>
      </w:r>
      <w:r>
        <w:t xml:space="preserve"> </w:t>
      </w:r>
      <w:r>
        <w:t xml:space="preserve">pracownika</w:t>
      </w:r>
      <w:r>
        <w:t xml:space="preserve"> </w:t>
      </w:r>
      <w:r>
        <w:t xml:space="preserve">do</w:t>
      </w:r>
      <w:r>
        <w:t xml:space="preserve"> </w:t>
      </w:r>
      <w:r>
        <w:t xml:space="preserve">organizacji</w:t>
      </w:r>
    </w:p>
    <w:p>
      <w:pPr>
        <w:pStyle w:val="Nagwek1"/>
      </w:pPr>
      <w:bookmarkStart w:id="23" w:name="opis-szkolenia-i-cel"/>
      <w:r>
        <w:t xml:space="preserve">Opis szkolenia i cel</w:t>
      </w:r>
      <w:bookmarkEnd w:id="23"/>
    </w:p>
    <w:p>
      <w:pPr>
        <w:pStyle w:val="FirstParagraph"/>
      </w:pPr>
      <w:r>
        <w:rPr>
          <w:b/>
        </w:rPr>
        <w:t xml:space="preserve">Szkolenie Onboarding - Wdrożenie nowego pracownika do organizacji</w:t>
      </w:r>
    </w:p>
    <w:p>
      <w:pPr>
        <w:pStyle w:val="Tekstpodstawowy"/>
      </w:pPr>
      <w:r>
        <w:t xml:space="preserve">Warto zadbać o to, by pierwsze dni w nowej pracy przebiegały w miłej i przyjaznej atmosferze. W tym Onboarding - Wdrożenie nowego pracownika do organizacji szkolenie, pokazujące zasady tworzenia skutecznego programu wdrożenia nowego pracownika do organizacji. Omawia sposoby podejścia, narzędzia, wskaźniki i pozostałe elementy decydujące o jakości onboardingu. W trakcie sesji warsztatowych uczestnicy będą mieli możliwość zastanowienia się i przedyskutowania, jak sprawić, żeby proces adaptacji łączył w sobie wartościową merytorykę, atrakcyjną formę, i szybką gotowość pracownika do realizacji zadań. Każda organizacja jest inna i posiada niepowtarzalne zasoby (pracownicze, finansowe, organizacyjne). Unikatowość jest powodem, dla którego program Onboardingu powinien być tworzony na miarę. Projektując, możemy uczynić proces efektywnym biznesowo, dopasowując go do szczególnych cech  organizacji.</w:t>
      </w:r>
    </w:p>
    <w:p>
      <w:pPr>
        <w:pStyle w:val="Tekstpodstawowy"/>
      </w:pPr>
      <w:r>
        <w:t xml:space="preserve">Celem szkolenia jest pokazanie, co składa się na spójny, angażujący i atrakcyjny program onboardingu. Uczestnicy podejmą próbę zaprojektowania procesu, dzięki któremu pracownik zyska motywację do pozostania w firmie, a organizacja zyska zaangażowanego i w pełni wydajnego pracownika. </w:t>
      </w:r>
    </w:p>
    <w:p>
      <w:pPr>
        <w:pStyle w:val="Nagwek1"/>
      </w:pPr>
      <w:bookmarkStart w:id="24" w:name="korzyści-dla-uczestników"/>
      <w:r>
        <w:t xml:space="preserve">Korzyści dla uczestników</w:t>
      </w:r>
      <w:bookmarkEnd w:id="24"/>
    </w:p>
    <w:p>
      <w:pPr>
        <w:pStyle w:val="Compact"/>
        <w:numPr>
          <w:numId w:val="1001"/>
          <w:ilvl w:val="0"/>
        </w:numPr>
      </w:pPr>
      <w:r>
        <w:t xml:space="preserve">Uczestnicy szkolenia poznają różne podejścia do procesu onboardingu i zdefiniują najkorzystniejsze rozwiązania dla swoich firm</w:t>
      </w:r>
    </w:p>
    <w:p>
      <w:pPr>
        <w:pStyle w:val="Compact"/>
        <w:numPr>
          <w:numId w:val="1001"/>
          <w:ilvl w:val="0"/>
        </w:numPr>
      </w:pPr>
      <w:r>
        <w:t xml:space="preserve">Będą w stanie zaprojektować optymalny i angażujący proces wdrożenia nowego pracownika we własnej firmie</w:t>
      </w:r>
    </w:p>
    <w:p>
      <w:pPr>
        <w:pStyle w:val="Compact"/>
        <w:numPr>
          <w:numId w:val="1001"/>
          <w:ilvl w:val="0"/>
        </w:numPr>
      </w:pPr>
      <w:r>
        <w:t xml:space="preserve">Podejmą próbę stworzenia zarysu procesu</w:t>
      </w:r>
    </w:p>
    <w:p>
      <w:pPr>
        <w:pStyle w:val="Compact"/>
        <w:numPr>
          <w:numId w:val="1001"/>
          <w:ilvl w:val="0"/>
        </w:numPr>
      </w:pPr>
      <w:r>
        <w:t xml:space="preserve">Zyskają możliwość budowania swojego wizerunku jako eksperta w obszarze adaptacji pracownika w swojej organizacji</w:t>
      </w:r>
    </w:p>
    <w:p>
      <w:pPr>
        <w:pStyle w:val="Nagwek1"/>
      </w:pPr>
      <w:bookmarkStart w:id="25" w:name="metody-szkolenia"/>
      <w:r>
        <w:t xml:space="preserve">Metody szkolenia</w:t>
      </w:r>
      <w:bookmarkEnd w:id="25"/>
    </w:p>
    <w:p>
      <w:pPr>
        <w:pStyle w:val="FirstParagraph"/>
      </w:pPr>
      <w:r>
        <w:t xml:space="preserve">Warsztat szkoleniowy. Głównym założeniem warsztatów jest wypracowanie przez uczestników własnych koncepcji, które mogą rozbudować w środowisku swojej organizacji. Stosowane metody to mini-wykłady, ćwiczenia, praca w zespołach, praca indywidualna, „burza mózgów”, analizy przypadków, dyskusja.</w:t>
      </w:r>
    </w:p>
    <w:p>
      <w:pPr>
        <w:pStyle w:val="Nagwek1"/>
      </w:pPr>
      <w:bookmarkStart w:id="26" w:name="czas-trwania"/>
      <w:r>
        <w:t xml:space="preserve">Czas trwania</w:t>
      </w:r>
      <w:bookmarkEnd w:id="26"/>
    </w:p>
    <w:p>
      <w:pPr>
        <w:pStyle w:val="Compact"/>
      </w:pPr>
      <w:r>
        <w:t xml:space="preserve">16 godzin dydaktycznych - 2 dni</w:t>
      </w:r>
    </w:p>
    <w:p>
      <w:pPr>
        <w:pStyle w:val="Nagwek1"/>
      </w:pPr>
      <w:bookmarkStart w:id="27" w:name="program-szkolenia"/>
      <w:r>
        <w:t xml:space="preserve">Program szkolenia</w:t>
      </w:r>
      <w:bookmarkEnd w:id="27"/>
    </w:p>
    <w:p>
      <w:pPr>
        <w:pStyle w:val="Compact"/>
        <w:numPr>
          <w:numId w:val="1002"/>
          <w:ilvl w:val="0"/>
        </w:numPr>
      </w:pPr>
      <w:r>
        <w:t xml:space="preserve">Onboarding  - ogólna charakterystyka oraz wpływ na postrzeganie i funkcjonowanie organizacji</w:t>
      </w:r>
    </w:p>
    <w:p>
      <w:pPr>
        <w:pStyle w:val="Compact"/>
        <w:numPr>
          <w:numId w:val="1003"/>
          <w:ilvl w:val="1"/>
        </w:numPr>
      </w:pPr>
      <w:r>
        <w:t xml:space="preserve">wizerunek firmy</w:t>
      </w:r>
    </w:p>
    <w:p>
      <w:pPr>
        <w:pStyle w:val="Compact"/>
        <w:numPr>
          <w:numId w:val="1003"/>
          <w:ilvl w:val="1"/>
        </w:numPr>
      </w:pPr>
      <w:r>
        <w:t xml:space="preserve">lojalność talentów</w:t>
      </w:r>
    </w:p>
    <w:p>
      <w:pPr>
        <w:pStyle w:val="Compact"/>
        <w:numPr>
          <w:numId w:val="1003"/>
          <w:ilvl w:val="1"/>
        </w:numPr>
      </w:pPr>
      <w:r>
        <w:t xml:space="preserve">fluktuacja i koszty zatrudnienia</w:t>
      </w:r>
    </w:p>
    <w:p>
      <w:pPr>
        <w:pStyle w:val="Compact"/>
        <w:numPr>
          <w:numId w:val="1002"/>
          <w:ilvl w:val="0"/>
        </w:numPr>
      </w:pPr>
      <w:r>
        <w:t xml:space="preserve">Obszary efektywnego wdrożenia pracownika. Zasada 4 C.</w:t>
      </w:r>
    </w:p>
    <w:p>
      <w:pPr>
        <w:pStyle w:val="Compact"/>
        <w:numPr>
          <w:numId w:val="1004"/>
          <w:ilvl w:val="1"/>
        </w:numPr>
      </w:pPr>
      <w:r>
        <w:t xml:space="preserve">Obszar proceduralny – Compliance</w:t>
      </w:r>
    </w:p>
    <w:p>
      <w:pPr>
        <w:pStyle w:val="Compact"/>
        <w:numPr>
          <w:numId w:val="1004"/>
          <w:ilvl w:val="1"/>
        </w:numPr>
      </w:pPr>
      <w:r>
        <w:t xml:space="preserve">Obszar zadań i celów – Clarification</w:t>
      </w:r>
    </w:p>
    <w:p>
      <w:pPr>
        <w:pStyle w:val="Compact"/>
        <w:numPr>
          <w:numId w:val="1004"/>
          <w:ilvl w:val="1"/>
        </w:numPr>
      </w:pPr>
      <w:r>
        <w:t xml:space="preserve">Obszar „zasad gry” kultura organizacyjna – Culture</w:t>
      </w:r>
    </w:p>
    <w:p>
      <w:pPr>
        <w:pStyle w:val="Compact"/>
        <w:numPr>
          <w:numId w:val="1004"/>
          <w:ilvl w:val="1"/>
        </w:numPr>
      </w:pPr>
      <w:r>
        <w:t xml:space="preserve">Obszar relacji i integracji – Connection</w:t>
      </w:r>
    </w:p>
    <w:p>
      <w:pPr>
        <w:pStyle w:val="Compact"/>
        <w:numPr>
          <w:numId w:val="1002"/>
          <w:ilvl w:val="0"/>
        </w:numPr>
      </w:pPr>
      <w:r>
        <w:t xml:space="preserve">Wybór rodzaju strategii jako wypadkowa zasobów i modelu biznesowego:</w:t>
      </w:r>
    </w:p>
    <w:p>
      <w:pPr>
        <w:pStyle w:val="Compact"/>
        <w:numPr>
          <w:numId w:val="1005"/>
          <w:ilvl w:val="1"/>
        </w:numPr>
      </w:pPr>
      <w:r>
        <w:t xml:space="preserve">Onboarding pasywny</w:t>
      </w:r>
    </w:p>
    <w:p>
      <w:pPr>
        <w:pStyle w:val="Compact"/>
        <w:numPr>
          <w:numId w:val="1005"/>
          <w:ilvl w:val="1"/>
        </w:numPr>
      </w:pPr>
      <w:r>
        <w:t xml:space="preserve">High Potential Onboarding</w:t>
      </w:r>
    </w:p>
    <w:p>
      <w:pPr>
        <w:pStyle w:val="Compact"/>
        <w:numPr>
          <w:numId w:val="1005"/>
          <w:ilvl w:val="1"/>
        </w:numPr>
      </w:pPr>
      <w:r>
        <w:t xml:space="preserve">Onboarding proaktywny</w:t>
      </w:r>
    </w:p>
    <w:p>
      <w:pPr>
        <w:pStyle w:val="Compact"/>
        <w:numPr>
          <w:numId w:val="1002"/>
          <w:ilvl w:val="0"/>
        </w:numPr>
      </w:pPr>
      <w:r>
        <w:t xml:space="preserve">Kategorie i taktyki adaptacyjne, analiza możliwości</w:t>
      </w:r>
    </w:p>
    <w:p>
      <w:pPr>
        <w:pStyle w:val="Compact"/>
        <w:numPr>
          <w:numId w:val="1006"/>
          <w:ilvl w:val="1"/>
        </w:numPr>
      </w:pPr>
      <w:r>
        <w:t xml:space="preserve">kolektywna vs indywidualna</w:t>
      </w:r>
    </w:p>
    <w:p>
      <w:pPr>
        <w:pStyle w:val="Compact"/>
        <w:numPr>
          <w:numId w:val="1006"/>
          <w:ilvl w:val="1"/>
        </w:numPr>
      </w:pPr>
      <w:r>
        <w:t xml:space="preserve">formalna vs nieformalna</w:t>
      </w:r>
    </w:p>
    <w:p>
      <w:pPr>
        <w:pStyle w:val="Compact"/>
        <w:numPr>
          <w:numId w:val="1006"/>
          <w:ilvl w:val="1"/>
        </w:numPr>
      </w:pPr>
      <w:r>
        <w:t xml:space="preserve">etapowa vs losowa</w:t>
      </w:r>
    </w:p>
    <w:p>
      <w:pPr>
        <w:pStyle w:val="Compact"/>
        <w:numPr>
          <w:numId w:val="1006"/>
          <w:ilvl w:val="1"/>
        </w:numPr>
      </w:pPr>
      <w:r>
        <w:t xml:space="preserve">sukcesyjna vs dysjunktywna</w:t>
      </w:r>
    </w:p>
    <w:p>
      <w:pPr>
        <w:pStyle w:val="Compact"/>
        <w:numPr>
          <w:numId w:val="1006"/>
          <w:ilvl w:val="1"/>
        </w:numPr>
      </w:pPr>
      <w:r>
        <w:t xml:space="preserve">afirmacyjna vs roszczeniowa</w:t>
      </w:r>
    </w:p>
    <w:p>
      <w:pPr>
        <w:pStyle w:val="Compact"/>
        <w:numPr>
          <w:numId w:val="1002"/>
          <w:ilvl w:val="0"/>
        </w:numPr>
      </w:pPr>
      <w:r>
        <w:t xml:space="preserve">Nowe terminy w onboardingu</w:t>
      </w:r>
    </w:p>
    <w:p>
      <w:pPr>
        <w:pStyle w:val="Compact"/>
        <w:numPr>
          <w:numId w:val="1007"/>
          <w:ilvl w:val="1"/>
        </w:numPr>
      </w:pPr>
      <w:r>
        <w:t xml:space="preserve">Pre-Boarding</w:t>
      </w:r>
    </w:p>
    <w:p>
      <w:pPr>
        <w:pStyle w:val="Compact"/>
        <w:numPr>
          <w:numId w:val="1007"/>
          <w:ilvl w:val="1"/>
        </w:numPr>
      </w:pPr>
      <w:r>
        <w:t xml:space="preserve">Re-Boarding</w:t>
      </w:r>
    </w:p>
    <w:p>
      <w:pPr>
        <w:pStyle w:val="Compact"/>
        <w:numPr>
          <w:numId w:val="1007"/>
          <w:ilvl w:val="1"/>
        </w:numPr>
      </w:pPr>
      <w:r>
        <w:t xml:space="preserve">Off-Boarding</w:t>
      </w:r>
    </w:p>
    <w:p>
      <w:pPr>
        <w:pStyle w:val="Compact"/>
        <w:numPr>
          <w:numId w:val="1002"/>
          <w:ilvl w:val="0"/>
        </w:numPr>
      </w:pPr>
      <w:r>
        <w:t xml:space="preserve">Ramy czasowe i działania w poszczególnych przedziałach procesu, etapy adaptacji.</w:t>
      </w:r>
    </w:p>
    <w:p>
      <w:pPr>
        <w:pStyle w:val="Compact"/>
        <w:numPr>
          <w:numId w:val="1002"/>
          <w:ilvl w:val="0"/>
        </w:numPr>
      </w:pPr>
      <w:r>
        <w:t xml:space="preserve">Narzędzia wykorzystywane w procesie (np. procedury, ankiety, kwestionariusze, materiały informacyjne). Forma narzędzi (np. papierowe, online, platformy, szkolenia, integracje).</w:t>
      </w:r>
    </w:p>
    <w:p>
      <w:pPr>
        <w:pStyle w:val="Compact"/>
        <w:numPr>
          <w:numId w:val="1002"/>
          <w:ilvl w:val="0"/>
        </w:numPr>
      </w:pPr>
      <w:r>
        <w:t xml:space="preserve">Kluczowe osoby wspierające i odpowiadające za proces, ich rola i zadania. Kontekst relacji międzyludzkich i procesów.</w:t>
      </w:r>
    </w:p>
    <w:p>
      <w:pPr>
        <w:pStyle w:val="Compact"/>
        <w:numPr>
          <w:numId w:val="1008"/>
          <w:ilvl w:val="1"/>
        </w:numPr>
      </w:pPr>
      <w:r>
        <w:t xml:space="preserve">Koordynator programu</w:t>
      </w:r>
    </w:p>
    <w:p>
      <w:pPr>
        <w:pStyle w:val="Compact"/>
        <w:numPr>
          <w:numId w:val="1008"/>
          <w:ilvl w:val="1"/>
        </w:numPr>
      </w:pPr>
      <w:r>
        <w:t xml:space="preserve">Eksperci</w:t>
      </w:r>
    </w:p>
    <w:p>
      <w:pPr>
        <w:pStyle w:val="Compact"/>
        <w:numPr>
          <w:numId w:val="1008"/>
          <w:ilvl w:val="1"/>
        </w:numPr>
      </w:pPr>
      <w:r>
        <w:t xml:space="preserve">HR</w:t>
      </w:r>
    </w:p>
    <w:p>
      <w:pPr>
        <w:pStyle w:val="Compact"/>
        <w:numPr>
          <w:numId w:val="1008"/>
          <w:ilvl w:val="1"/>
        </w:numPr>
      </w:pPr>
      <w:r>
        <w:t xml:space="preserve">Opiekun, „buddy”</w:t>
      </w:r>
    </w:p>
    <w:p>
      <w:pPr>
        <w:pStyle w:val="Compact"/>
        <w:numPr>
          <w:numId w:val="1008"/>
          <w:ilvl w:val="1"/>
        </w:numPr>
      </w:pPr>
      <w:r>
        <w:t xml:space="preserve">Trener</w:t>
      </w:r>
    </w:p>
    <w:p>
      <w:pPr>
        <w:pStyle w:val="Compact"/>
        <w:numPr>
          <w:numId w:val="1008"/>
          <w:ilvl w:val="1"/>
        </w:numPr>
      </w:pPr>
      <w:r>
        <w:t xml:space="preserve">Instruktor</w:t>
      </w:r>
    </w:p>
    <w:p>
      <w:pPr>
        <w:pStyle w:val="Compact"/>
        <w:numPr>
          <w:numId w:val="1008"/>
          <w:ilvl w:val="1"/>
        </w:numPr>
      </w:pPr>
      <w:r>
        <w:t xml:space="preserve">Coach</w:t>
      </w:r>
    </w:p>
    <w:p>
      <w:pPr>
        <w:pStyle w:val="Compact"/>
        <w:numPr>
          <w:numId w:val="1008"/>
          <w:ilvl w:val="1"/>
        </w:numPr>
      </w:pPr>
      <w:r>
        <w:t xml:space="preserve">Mentor</w:t>
      </w:r>
    </w:p>
    <w:p>
      <w:pPr>
        <w:pStyle w:val="Compact"/>
        <w:numPr>
          <w:numId w:val="1002"/>
          <w:ilvl w:val="0"/>
        </w:numPr>
      </w:pPr>
      <w:r>
        <w:t xml:space="preserve">Przegląd - jak robią to inni?</w:t>
      </w:r>
    </w:p>
    <w:p>
      <w:pPr>
        <w:pStyle w:val="Compact"/>
        <w:numPr>
          <w:numId w:val="1002"/>
          <w:ilvl w:val="0"/>
        </w:numPr>
      </w:pPr>
      <w:r>
        <w:t xml:space="preserve">Rola komunikacji i informacji zwrotnej w procesie adaptacji pracownika.</w:t>
      </w:r>
    </w:p>
    <w:p>
      <w:pPr>
        <w:pStyle w:val="Compact"/>
        <w:numPr>
          <w:numId w:val="1002"/>
          <w:ilvl w:val="0"/>
        </w:numPr>
      </w:pPr>
      <w:r>
        <w:t xml:space="preserve">Ewaluacja procesu wsparcia bezpośredniego i pośredniego (jakościowa i ilościowa). Wskaźniki efektywności Onboardingu.</w:t>
      </w:r>
    </w:p>
    <w:p>
      <w:pPr>
        <w:pStyle w:val="Compact"/>
        <w:numPr>
          <w:numId w:val="1002"/>
          <w:ilvl w:val="0"/>
        </w:numPr>
      </w:pPr>
      <w:r>
        <w:t xml:space="preserve">Proces Onboardingu jako źródło wiedzy o firmie i szansa na optymalizację procesów w organizacji.</w:t>
      </w:r>
    </w:p>
    <w:p>
      <w:pPr>
        <w:pStyle w:val="Nagwek1"/>
      </w:pPr>
      <w:bookmarkStart w:id="28" w:name="harmonogram"/>
      <w:r>
        <w:t xml:space="preserve">Harmonogram</w:t>
      </w:r>
      <w:bookmarkEnd w:id="28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Harmonogram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Dzień 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Dzień 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Rejestracja uczestników</w:t>
            </w:r>
          </w:p>
        </w:tc>
        <w:tc>
          <w:p>
            <w:pPr>
              <w:pStyle w:val="Compact"/>
              <w:jc w:val="left"/>
            </w:pPr>
            <w:r>
              <w:t xml:space="preserve">9:45 - 10:00</w:t>
            </w:r>
          </w:p>
        </w:tc>
        <w:tc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Zajęcia</w:t>
            </w:r>
          </w:p>
        </w:tc>
        <w:tc>
          <w:p>
            <w:pPr>
              <w:pStyle w:val="Compact"/>
              <w:jc w:val="left"/>
            </w:pPr>
            <w:r>
              <w:t xml:space="preserve">10:00 - 11:00</w:t>
            </w:r>
          </w:p>
        </w:tc>
        <w:tc>
          <w:p>
            <w:pPr>
              <w:pStyle w:val="Compact"/>
              <w:jc w:val="left"/>
            </w:pPr>
            <w:r>
              <w:t xml:space="preserve">9:00 - 11:00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Przerwa</w:t>
            </w:r>
          </w:p>
        </w:tc>
        <w:tc>
          <w:p>
            <w:pPr>
              <w:pStyle w:val="Compact"/>
              <w:jc w:val="left"/>
            </w:pPr>
            <w:r>
              <w:t xml:space="preserve">11:00 - 11:15</w:t>
            </w:r>
          </w:p>
        </w:tc>
        <w:tc>
          <w:p>
            <w:pPr>
              <w:pStyle w:val="Compact"/>
              <w:jc w:val="left"/>
            </w:pPr>
            <w:r>
              <w:t xml:space="preserve">11:00 - 11:15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Zajęcia</w:t>
            </w:r>
          </w:p>
        </w:tc>
        <w:tc>
          <w:p>
            <w:pPr>
              <w:pStyle w:val="Compact"/>
              <w:jc w:val="left"/>
            </w:pPr>
            <w:r>
              <w:t xml:space="preserve">11:15 - 13:00</w:t>
            </w:r>
          </w:p>
        </w:tc>
        <w:tc>
          <w:p>
            <w:pPr>
              <w:pStyle w:val="Compact"/>
              <w:jc w:val="left"/>
            </w:pPr>
            <w:r>
              <w:t xml:space="preserve">11:15 - 13:00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Obiad</w:t>
            </w:r>
          </w:p>
        </w:tc>
        <w:tc>
          <w:p>
            <w:pPr>
              <w:pStyle w:val="Compact"/>
              <w:jc w:val="left"/>
            </w:pPr>
            <w:r>
              <w:t xml:space="preserve">13:00 - 13:45</w:t>
            </w:r>
          </w:p>
        </w:tc>
        <w:tc>
          <w:p>
            <w:pPr>
              <w:pStyle w:val="Compact"/>
              <w:jc w:val="left"/>
            </w:pPr>
            <w:r>
              <w:t xml:space="preserve">13:00 - 13:45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Zajęcia</w:t>
            </w:r>
          </w:p>
        </w:tc>
        <w:tc>
          <w:p>
            <w:pPr>
              <w:pStyle w:val="Compact"/>
              <w:jc w:val="left"/>
            </w:pPr>
            <w:r>
              <w:t xml:space="preserve">13:45 - 15:00</w:t>
            </w:r>
          </w:p>
        </w:tc>
        <w:tc>
          <w:p>
            <w:pPr>
              <w:pStyle w:val="Compact"/>
              <w:jc w:val="left"/>
            </w:pPr>
            <w:r>
              <w:t xml:space="preserve">13:45 - 15:00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Przerwa</w:t>
            </w:r>
          </w:p>
        </w:tc>
        <w:tc>
          <w:p>
            <w:pPr>
              <w:pStyle w:val="Compact"/>
              <w:jc w:val="left"/>
            </w:pPr>
            <w:r>
              <w:t xml:space="preserve">15:00 - 15:10</w:t>
            </w:r>
          </w:p>
        </w:tc>
        <w:tc>
          <w:p>
            <w:pPr>
              <w:pStyle w:val="Compact"/>
              <w:jc w:val="left"/>
            </w:pPr>
            <w:r>
              <w:t xml:space="preserve">15:00 - 15:10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Zajęcia</w:t>
            </w:r>
          </w:p>
        </w:tc>
        <w:tc>
          <w:p>
            <w:pPr>
              <w:pStyle w:val="Compact"/>
              <w:jc w:val="left"/>
            </w:pPr>
            <w:r>
              <w:t xml:space="preserve">15:10 - 17:00</w:t>
            </w:r>
          </w:p>
        </w:tc>
        <w:tc>
          <w:p>
            <w:pPr>
              <w:pStyle w:val="Compact"/>
              <w:jc w:val="left"/>
            </w:pPr>
            <w:r>
              <w:t xml:space="preserve">15:10 - 16:00</w:t>
            </w:r>
          </w:p>
        </w:tc>
      </w:tr>
    </w:tbl>
    <w:p>
      <w:pPr>
        <w:pStyle w:val="Nagwek1"/>
      </w:pPr>
      <w:bookmarkStart w:id="29" w:name="koszt-inwestycji"/>
      <w:r>
        <w:t xml:space="preserve">Koszt inwestycji</w:t>
      </w:r>
      <w:bookmarkEnd w:id="29"/>
    </w:p>
    <w:p>
      <w:pPr>
        <w:pStyle w:val="FirstParagraph"/>
      </w:pPr>
      <w:r>
        <w:t xml:space="preserve">Przy zgłoszeniu do 28 marzec 2025r. obowiązuje cena 1790 zł. Po tym terminie koszt wynosi 2000 zł. </w:t>
      </w:r>
    </w:p>
    <w:p>
      <w:pPr>
        <w:pStyle w:val="Tekstpodstawowy"/>
      </w:pPr>
      <w:r>
        <w:t xml:space="preserve">Cena dotyczy jednej osoby i zawiera: udział w szkoleniu, materiały szkoleniowe, obiad, przerwy kawowe, certyfikat ukończenia szkolenia*.</w:t>
      </w:r>
    </w:p>
    <w:p>
      <w:pPr>
        <w:pStyle w:val="Tekstpodstawowy"/>
      </w:pPr>
      <w:r>
        <w:t xml:space="preserve">Do podanej powyżej kwoty zostanie doliczony VAT w wysokości 23%. </w:t>
      </w:r>
    </w:p>
    <w:p>
      <w:pPr>
        <w:pStyle w:val="Tekstpodstawowy"/>
      </w:pPr>
      <w:r>
        <w:rPr>
          <w:b/>
        </w:rPr>
        <w:t xml:space="preserve">Potrzebny jest nocleg</w:t>
      </w:r>
      <w:r>
        <w:t xml:space="preserve"> </w:t>
      </w:r>
      <w:r>
        <w:t xml:space="preserve">w miejscu szkolenia?</w:t>
      </w:r>
      <w:r>
        <w:br w:type="textWrapping"/>
      </w:r>
      <w:r>
        <w:br w:type="textWrapping"/>
      </w:r>
      <w:r>
        <w:rPr>
          <w:b/>
        </w:rPr>
        <w:t xml:space="preserve">Kliknij w nazwę hotelu przy terminie szkolenia</w:t>
      </w:r>
      <w:r>
        <w:t xml:space="preserve"> </w:t>
      </w:r>
      <w:r>
        <w:t xml:space="preserve">na naszej stronie internetowej</w:t>
      </w:r>
      <w:r>
        <w:br w:type="textWrapping"/>
      </w:r>
      <w:r>
        <w:t xml:space="preserve">–</w:t>
      </w:r>
      <w:r>
        <w:t xml:space="preserve"> </w:t>
      </w:r>
      <w:r>
        <w:rPr>
          <w:b/>
        </w:rPr>
        <w:t xml:space="preserve">nastąpi przekierowanie do strony</w:t>
      </w:r>
      <w:r>
        <w:t xml:space="preserve"> </w:t>
      </w:r>
      <w:r>
        <w:t xml:space="preserve">informacyjnej danego hotelu wraz z</w:t>
      </w:r>
      <w:r>
        <w:t xml:space="preserve"> </w:t>
      </w:r>
      <w:r>
        <w:rPr>
          <w:b/>
        </w:rPr>
        <w:t xml:space="preserve">cenami pokoi</w:t>
      </w:r>
      <w:r>
        <w:t xml:space="preserve">. </w:t>
      </w:r>
      <w:r>
        <w:br w:type="textWrapping"/>
      </w:r>
      <w:r>
        <w:t xml:space="preserve"> </w:t>
      </w:r>
    </w:p>
    <w:p>
      <w:pPr>
        <w:pStyle w:val="Tekstpodstawowy"/>
      </w:pPr>
      <w:r>
        <w:t xml:space="preserve">Dla instytucji budżetowych i pozostałych firm, które szkolenie finansują w ponad 70% z środków publicznych, istnieje możliwość wystawienia faktury VAT bez podatku VAT (ze stawką zwolnioną).</w:t>
      </w:r>
    </w:p>
    <w:p>
      <w:pPr>
        <w:pStyle w:val="Tekstpodstawowy"/>
      </w:pPr>
      <w:r>
        <w:t xml:space="preserve">Aby uzyskać taką fakturę należy:</w:t>
      </w:r>
    </w:p>
    <w:p>
      <w:pPr>
        <w:pStyle w:val="Compact"/>
        <w:numPr>
          <w:numId w:val="1009"/>
          <w:ilvl w:val="0"/>
        </w:numPr>
      </w:pPr>
      <w:r>
        <w:t xml:space="preserve">pokryć koszt szkolenia w przynajmniej 70% z środków publicznych,</w:t>
      </w:r>
    </w:p>
    <w:p>
      <w:pPr>
        <w:pStyle w:val="Compact"/>
        <w:numPr>
          <w:numId w:val="1009"/>
          <w:ilvl w:val="0"/>
        </w:numPr>
      </w:pPr>
      <w:r>
        <w:t xml:space="preserve">przesłać do nas podpisane oświadczenie o finansowaniu usługi szkoleniowej ze środków publicznych.</w:t>
      </w:r>
    </w:p>
    <w:p>
      <w:pPr>
        <w:pStyle w:val="FirstParagraph"/>
      </w:pPr>
      <w:hyperlink r:id="rId30">
        <w:r>
          <w:rPr>
            <w:rStyle w:val="Hipercze"/>
          </w:rPr>
          <w:t xml:space="preserve">Wzór oświadczenia do pobrania</w:t>
        </w:r>
      </w:hyperlink>
    </w:p>
    <w:p>
      <w:pPr>
        <w:pStyle w:val="Tekstpodstawowy"/>
      </w:pPr>
      <w:r>
        <w:rPr>
          <w:b/>
        </w:rPr>
        <w:t xml:space="preserve">Baza Usług Rozwojowych (BUR) Polska Agencja Rozwoju Przedsiębiorczości (PARP)</w:t>
      </w:r>
    </w:p>
    <w:p>
      <w:pPr>
        <w:pStyle w:val="Tekstpodstawowy"/>
      </w:pPr>
      <w:r>
        <w:rPr>
          <w:b/>
        </w:rPr>
        <w:t xml:space="preserve">Jesteśmy aktywnym dostawcą</w:t>
      </w:r>
      <w:r>
        <w:t xml:space="preserve"> </w:t>
      </w:r>
      <w:r>
        <w:t xml:space="preserve">usług szkoleniowych poprzez BUR.</w:t>
      </w:r>
    </w:p>
    <w:p>
      <w:pPr>
        <w:pStyle w:val="Tekstpodstawowy"/>
      </w:pPr>
      <w:r>
        <w:t xml:space="preserve">Posiadamy uprawnienia do realizacji szkoleń dofinansowanych.</w:t>
      </w:r>
    </w:p>
    <w:p>
      <w:pPr>
        <w:pStyle w:val="Tekstpodstawowy"/>
      </w:pPr>
      <w:r>
        <w:t xml:space="preserve">Link do profilu dostawcy:</w:t>
      </w:r>
      <w:r>
        <w:t xml:space="preserve"> </w:t>
      </w:r>
      <w:hyperlink r:id="rId31">
        <w:r>
          <w:rPr>
            <w:rStyle w:val="Hipercze"/>
          </w:rPr>
          <w:t xml:space="preserve">https://uslugirozwojowe.parp.gov.pl/wyszukiwarka/dostawca-uslug/podglad?id=7223</w:t>
        </w:r>
      </w:hyperlink>
    </w:p>
    <w:p>
      <w:pPr>
        <w:pStyle w:val="Tekstpodstawowy"/>
      </w:pPr>
      <w:r>
        <w:t xml:space="preserve">Usługi do bazy dodajemy w przypadku zainteresowania klienta (na życzenie).</w:t>
      </w:r>
    </w:p>
    <w:p>
      <w:pPr>
        <w:pStyle w:val="Tekstpodstawowy"/>
      </w:pPr>
      <w:r>
        <w:rPr>
          <w:b/>
        </w:rPr>
        <w:t xml:space="preserve">Chcesz zrealizować z nami szkolenie</w:t>
      </w:r>
      <w:r>
        <w:t xml:space="preserve"> </w:t>
      </w:r>
      <w:r>
        <w:t xml:space="preserve">dofinansowane przez BUR?</w:t>
      </w:r>
    </w:p>
    <w:p>
      <w:pPr>
        <w:pStyle w:val="Tekstpodstawowy"/>
      </w:pPr>
      <w:r>
        <w:rPr>
          <w:b/>
        </w:rPr>
        <w:t xml:space="preserve">Napisz do nas – dodamy dla Ciebie kartę usługi.</w:t>
      </w:r>
      <w:r>
        <w:t xml:space="preserve"> </w:t>
      </w:r>
    </w:p>
    <w:p>
      <w:pPr>
        <w:pStyle w:val="Tekstpodstawowy"/>
      </w:pPr>
      <w:r>
        <w:rPr>
          <w:b/>
        </w:rPr>
        <w:t xml:space="preserve">Ariba</w:t>
      </w:r>
      <w:r>
        <w:t xml:space="preserve"> </w:t>
      </w:r>
      <w:r>
        <w:t xml:space="preserve">i</w:t>
      </w:r>
      <w:r>
        <w:t xml:space="preserve"> </w:t>
      </w:r>
      <w:r>
        <w:rPr>
          <w:b/>
        </w:rPr>
        <w:t xml:space="preserve">Taulia</w:t>
      </w:r>
      <w:r>
        <w:t xml:space="preserve">. Progress Project jest zarejestrowanym dostawcą w systemie Ariba oraz Taulia.</w:t>
      </w:r>
    </w:p>
    <w:p>
      <w:pPr>
        <w:pStyle w:val="Tekstpodstawowy"/>
      </w:pPr>
      <w:r>
        <w:t xml:space="preserve">Zapraszamy do dodania naszej firmy do swoich dostawców w tych systemach: </w:t>
      </w:r>
    </w:p>
    <w:p>
      <w:pPr>
        <w:pStyle w:val="Tekstpodstawowy"/>
      </w:pPr>
      <w:r>
        <w:t xml:space="preserve">o    </w:t>
      </w:r>
      <w:r>
        <w:rPr>
          <w:b/>
        </w:rPr>
        <w:t xml:space="preserve">Ariba</w:t>
      </w:r>
      <w:r>
        <w:t xml:space="preserve"> </w:t>
      </w:r>
      <w:r>
        <w:t xml:space="preserve">- Identyfikator Progress Project Ariba Network:</w:t>
      </w:r>
      <w:r>
        <w:t xml:space="preserve"> </w:t>
      </w:r>
      <w:r>
        <w:rPr>
          <w:b/>
        </w:rPr>
        <w:t xml:space="preserve">AN01053928574</w:t>
      </w:r>
      <w:r>
        <w:t xml:space="preserve"> </w:t>
      </w:r>
      <w:hyperlink r:id="rId32">
        <w:r>
          <w:rPr>
            <w:rStyle w:val="Hipercze"/>
          </w:rPr>
          <w:t xml:space="preserve">https://discovery.ariba.com/profile/AN01053928574</w:t>
        </w:r>
      </w:hyperlink>
    </w:p>
    <w:p>
      <w:pPr>
        <w:pStyle w:val="Tekstpodstawowy"/>
      </w:pPr>
      <w:r>
        <w:t xml:space="preserve">o    </w:t>
      </w:r>
      <w:r>
        <w:rPr>
          <w:b/>
        </w:rPr>
        <w:t xml:space="preserve">Taulia -</w:t>
      </w:r>
      <w:r>
        <w:t xml:space="preserve"> </w:t>
      </w:r>
      <w:r>
        <w:t xml:space="preserve">Kod dostawcy</w:t>
      </w:r>
      <w:r>
        <w:t xml:space="preserve"> </w:t>
      </w:r>
      <w:r>
        <w:rPr>
          <w:b/>
        </w:rPr>
        <w:t xml:space="preserve">0000339243</w:t>
      </w:r>
      <w:r>
        <w:t xml:space="preserve"> </w:t>
      </w:r>
      <w:r>
        <w:t xml:space="preserve">Progress Project Sp. z o.o.</w:t>
      </w:r>
    </w:p>
    <w:p>
      <w:pPr>
        <w:pStyle w:val="Nagwek1"/>
      </w:pPr>
      <w:bookmarkStart w:id="33" w:name="kontakt"/>
      <w:r>
        <w:t xml:space="preserve">Kontakt</w:t>
      </w:r>
      <w:bookmarkEnd w:id="33"/>
    </w:p>
    <w:p>
      <w:pPr>
        <w:pStyle w:val="FirstParagraph"/>
      </w:pPr>
      <w:r>
        <w:t xml:space="preserve">Zapraszamy do kontaktu,</w:t>
      </w:r>
      <w:r>
        <w:br w:type="textWrapping"/>
      </w:r>
      <w:r>
        <w:rPr>
          <w:b/>
        </w:rPr>
        <w:t xml:space="preserve">Progress Project Sp. z o.o.</w:t>
      </w:r>
      <w:r>
        <w:br w:type="textWrapping"/>
      </w:r>
      <w:r>
        <w:t xml:space="preserve">ul. Sosnowa 35</w:t>
      </w:r>
      <w:r>
        <w:br w:type="textWrapping"/>
      </w:r>
      <w:r>
        <w:t xml:space="preserve">05-807 Podkowa Leśna</w:t>
      </w:r>
      <w:r>
        <w:br w:type="textWrapping"/>
      </w:r>
      <w:r>
        <w:t xml:space="preserve">tel.: 22 460 46 00</w:t>
      </w:r>
      <w:r>
        <w:br w:type="textWrapping"/>
      </w:r>
      <w:r>
        <w:t xml:space="preserve">fax: 22 460 46 04</w:t>
      </w:r>
      <w:r>
        <w:br w:type="textWrapping"/>
      </w:r>
      <w:r>
        <w:t xml:space="preserve">email:</w:t>
      </w:r>
      <w:r>
        <w:t xml:space="preserve"> </w:t>
      </w:r>
      <w:hyperlink r:id="rId34">
        <w:r>
          <w:rPr>
            <w:rStyle w:val="Hipercze"/>
          </w:rPr>
          <w:t xml:space="preserve">[email protected]</w:t>
        </w:r>
      </w:hyperlink>
      <w:r>
        <w:br w:type="textWrapping"/>
      </w:r>
      <w:r>
        <w:t xml:space="preserve">www.progressproject.pl</w:t>
      </w:r>
      <w:r>
        <w:br w:type="textWrapping"/>
      </w:r>
    </w:p>
    <w:sectPr w:rsidR="00E81404" w:rsidSect="00583B03">
      <w:headerReference w:type="even" r:id="rId11"/>
      <w:headerReference w:type="default" r:id="rId10"/>
      <w:footerReference w:type="even" r:id="rId13"/>
      <w:footerReference w:type="default" r:id="rId12"/>
      <w:headerReference w:type="first" r:id="rId9"/>
      <w:footerReference w:type="first" r:id="rId14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A9EA" w14:textId="77777777" w:rsidR="004F7401" w:rsidRDefault="004F74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024016"/>
      <w:docPartObj>
        <w:docPartGallery w:val="Page Numbers (Bottom of Page)"/>
        <w:docPartUnique/>
      </w:docPartObj>
    </w:sdtPr>
    <w:sdtEndPr/>
    <w:sdtContent>
      <w:p w14:paraId="47BAF528" w14:textId="77777777" w:rsidR="00583B03" w:rsidRDefault="00583B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29F" w:rsidRPr="00B6729F">
          <w:rPr>
            <w:noProof/>
            <w:lang w:val="pl-PL"/>
          </w:rPr>
          <w:t>7</w:t>
        </w:r>
        <w:r>
          <w:fldChar w:fldCharType="end"/>
        </w:r>
      </w:p>
    </w:sdtContent>
  </w:sdt>
  <w:p w14:paraId="6A5BD3E6" w14:textId="2FF76B50" w:rsidR="00583B03" w:rsidRDefault="00583B03">
    <w:pPr>
      <w:pStyle w:val="Stopka"/>
    </w:pPr>
    <w:r>
      <w:rPr>
        <w:rFonts w:ascii="Segoe UI" w:hAnsi="Segoe UI" w:cs="Segoe UI"/>
        <w:color w:val="636C72"/>
        <w:sz w:val="17"/>
        <w:szCs w:val="17"/>
        <w:shd w:val="clear" w:color="auto" w:fill="FFFFFF"/>
      </w:rPr>
      <w:t>Organizator: </w:t>
    </w:r>
    <w:r>
      <w:rPr>
        <w:rFonts w:ascii="Segoe UI" w:hAnsi="Segoe UI" w:cs="Segoe UI"/>
        <w:b/>
        <w:bCs/>
        <w:color w:val="636C72"/>
        <w:sz w:val="17"/>
        <w:szCs w:val="17"/>
        <w:shd w:val="clear" w:color="auto" w:fill="FFFFFF"/>
      </w:rPr>
      <w:t>Progress Project Sp. z o.o.</w:t>
    </w:r>
    <w:r>
      <w:rPr>
        <w:rFonts w:ascii="Segoe UI" w:hAnsi="Segoe UI" w:cs="Segoe UI"/>
        <w:color w:val="636C72"/>
        <w:sz w:val="17"/>
        <w:szCs w:val="17"/>
      </w:rPr>
      <w:br/>
    </w:r>
    <w:r>
      <w:rPr>
        <w:rFonts w:ascii="Segoe UI" w:hAnsi="Segoe UI" w:cs="Segoe UI"/>
        <w:color w:val="636C72"/>
        <w:sz w:val="17"/>
        <w:szCs w:val="17"/>
        <w:shd w:val="clear" w:color="auto" w:fill="FFFFFF"/>
      </w:rPr>
      <w:t xml:space="preserve">ul. </w:t>
    </w:r>
    <w:r w:rsidR="004F7401">
      <w:rPr>
        <w:rFonts w:ascii="Segoe UI" w:hAnsi="Segoe UI" w:cs="Segoe UI"/>
        <w:color w:val="636C72"/>
        <w:sz w:val="17"/>
        <w:szCs w:val="17"/>
        <w:shd w:val="clear" w:color="auto" w:fill="FFFFFF"/>
      </w:rPr>
      <w:t>Sosnowa 35, 05-8</w:t>
    </w:r>
    <w:r w:rsidR="00942731">
      <w:rPr>
        <w:rFonts w:ascii="Segoe UI" w:hAnsi="Segoe UI" w:cs="Segoe UI"/>
        <w:color w:val="636C72"/>
        <w:sz w:val="17"/>
        <w:szCs w:val="17"/>
        <w:shd w:val="clear" w:color="auto" w:fill="FFFFFF"/>
      </w:rPr>
      <w:t>07</w:t>
    </w:r>
    <w:r w:rsidR="004F7401">
      <w:rPr>
        <w:rFonts w:ascii="Segoe UI" w:hAnsi="Segoe UI" w:cs="Segoe UI"/>
        <w:color w:val="636C72"/>
        <w:sz w:val="17"/>
        <w:szCs w:val="17"/>
        <w:shd w:val="clear" w:color="auto" w:fill="FFFFFF"/>
      </w:rPr>
      <w:t xml:space="preserve"> Podkowa Leśna</w:t>
    </w:r>
    <w:r>
      <w:rPr>
        <w:rFonts w:ascii="Segoe UI" w:hAnsi="Segoe UI" w:cs="Segoe UI"/>
        <w:color w:val="636C72"/>
        <w:sz w:val="17"/>
        <w:szCs w:val="17"/>
        <w:shd w:val="clear" w:color="auto" w:fill="FFFFFF"/>
      </w:rPr>
      <w:t xml:space="preserve"> NIP: 525-238-26-47 Tel. 22 460 46 0</w:t>
    </w:r>
    <w:r w:rsidR="004A1517">
      <w:rPr>
        <w:rFonts w:ascii="Segoe UI" w:hAnsi="Segoe UI" w:cs="Segoe UI"/>
        <w:color w:val="636C72"/>
        <w:sz w:val="17"/>
        <w:szCs w:val="17"/>
        <w:shd w:val="clear" w:color="auto" w:fill="FFFFFF"/>
      </w:rPr>
      <w:t>0</w:t>
    </w:r>
    <w:r>
      <w:rPr>
        <w:rFonts w:ascii="Segoe UI" w:hAnsi="Segoe UI" w:cs="Segoe UI"/>
        <w:color w:val="636C72"/>
        <w:sz w:val="17"/>
        <w:szCs w:val="17"/>
        <w:shd w:val="clear" w:color="auto" w:fill="FFFFFF"/>
      </w:rPr>
      <w:t xml:space="preserve"> Fax. 22 460 46 04</w:t>
    </w:r>
    <w:r>
      <w:rPr>
        <w:rFonts w:ascii="Segoe UI" w:hAnsi="Segoe UI" w:cs="Segoe UI"/>
        <w:color w:val="636C72"/>
        <w:sz w:val="17"/>
        <w:szCs w:val="17"/>
      </w:rPr>
      <w:br/>
    </w:r>
    <w:r>
      <w:rPr>
        <w:rFonts w:ascii="Segoe UI" w:hAnsi="Segoe UI" w:cs="Segoe UI"/>
        <w:color w:val="636C72"/>
        <w:sz w:val="17"/>
        <w:szCs w:val="17"/>
        <w:shd w:val="clear" w:color="auto" w:fill="FFFFFF"/>
      </w:rPr>
      <w:t>Nr konta: </w:t>
    </w:r>
    <w:r>
      <w:rPr>
        <w:rFonts w:ascii="Segoe UI" w:hAnsi="Segoe UI" w:cs="Segoe UI"/>
        <w:b/>
        <w:bCs/>
        <w:color w:val="636C72"/>
        <w:sz w:val="17"/>
        <w:szCs w:val="17"/>
        <w:shd w:val="clear" w:color="auto" w:fill="FFFFFF"/>
      </w:rPr>
      <w:t>36 1030 0019 0109 8530 0047 0604</w:t>
    </w:r>
    <w:r>
      <w:rPr>
        <w:rFonts w:ascii="Segoe UI" w:hAnsi="Segoe UI" w:cs="Segoe UI"/>
        <w:color w:val="636C72"/>
        <w:sz w:val="17"/>
        <w:szCs w:val="17"/>
        <w:shd w:val="clear" w:color="auto" w:fill="FFFFFF"/>
      </w:rPr>
      <w:t> www.progressproject.pl biuro@progressproject.pl</w:t>
    </w:r>
    <w:r>
      <w:rPr>
        <w:rFonts w:ascii="Segoe UI" w:hAnsi="Segoe UI" w:cs="Segoe UI"/>
        <w:color w:val="636C72"/>
        <w:sz w:val="17"/>
        <w:szCs w:val="17"/>
      </w:rPr>
      <w:br/>
    </w:r>
    <w:r w:rsidR="00B6729F" w:rsidRPr="00B6729F">
      <w:rPr>
        <w:rFonts w:ascii="Segoe UI" w:hAnsi="Segoe UI" w:cs="Segoe UI"/>
        <w:color w:val="636C72"/>
        <w:sz w:val="13"/>
        <w:szCs w:val="13"/>
        <w:shd w:val="clear" w:color="auto" w:fill="FFFFFF"/>
      </w:rPr>
      <w:t>Copyright 2017 by Progress Project Sp. z o.o. All Rights Reserverd.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5BBE" w14:textId="77777777" w:rsidR="004F7401" w:rsidRDefault="004F7401">
    <w:pPr>
      <w:pStyle w:val="Stopka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4126" w14:textId="77777777" w:rsidR="004F7401" w:rsidRDefault="004F7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7A45" w14:textId="77777777" w:rsidR="00583B03" w:rsidRDefault="00583B03" w:rsidP="00583B03">
    <w:pPr>
      <w:pStyle w:val="Nagwek"/>
      <w:ind w:left="-426"/>
    </w:pPr>
    <w:r>
      <w:rPr>
        <w:noProof/>
      </w:rPr>
      <w:drawing>
        <wp:inline distT="0" distB="0" distL="0" distR="0" wp14:anchorId="6A9503D0" wp14:editId="71C02564">
          <wp:extent cx="1954800" cy="91512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P_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0" cy="91512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6E07" w14:textId="77777777" w:rsidR="004F7401" w:rsidRDefault="004F7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93198B"/>
    <w:multiLevelType w:val="multilevel"/>
    <w:tmpl w:val="A8AC45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  <w:rPr>
        <w:rFonts w:hint="default"/>
      </w:rPr>
    </w:lvl>
  </w:abstractNum>
  <w:abstractNum w:abstractNumId="1" w15:restartNumberingAfterBreak="0">
    <w:nsid w:val="E94252CD"/>
    <w:multiLevelType w:val="multilevel"/>
    <w:tmpl w:val="3AD214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FFFFFF7C"/>
    <w:multiLevelType w:val="singleLevel"/>
    <w:tmpl w:val="D9ECA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DA4E8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DA683F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B05062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A9968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401AA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B6F42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C338C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0D0CD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12AA8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4A02E52"/>
    <w:multiLevelType w:val="multilevel"/>
    <w:tmpl w:val="06E24AF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e977a8a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64d5842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a9c88bec"/>
    <w:multiLevelType w:val="multilevel"/>
    <w:lvl w:ilvl="0">
      <w:start w:val="1"/>
      <w:numFmt w:val="low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1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before="120" w:after="240"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2C5C"/>
  </w:style>
  <w:style w:type="paragraph" w:styleId="Nagwek1">
    <w:name w:val="heading 1"/>
    <w:basedOn w:val="Normalny"/>
    <w:next w:val="Normalny"/>
    <w:link w:val="Nagwek1Znak"/>
    <w:uiPriority w:val="9"/>
    <w:qFormat/>
    <w:rsid w:val="00446B7B"/>
    <w:pPr>
      <w:pBdr>
        <w:top w:val="single" w:sz="48" w:space="0" w:color="0F6FC6" w:themeColor="accent1"/>
        <w:left w:val="single" w:sz="48" w:space="0" w:color="0F6FC6" w:themeColor="accent1"/>
        <w:bottom w:val="single" w:sz="48" w:space="0" w:color="0F6FC6" w:themeColor="accent1"/>
        <w:right w:val="single" w:sz="48" w:space="0" w:color="0F6FC6" w:themeColor="accent1"/>
      </w:pBdr>
      <w:shd w:val="clear" w:color="auto" w:fill="0F6FC6" w:themeFill="accent1"/>
      <w:spacing w:before="240" w:after="120" w:line="240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5AEF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5AEF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5AEF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A5AEF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A5AEF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A5AEF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A5A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A5A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</w:style>
  <w:style w:type="paragraph" w:customStyle="1" w:styleId="Compact">
    <w:name w:val="Compact"/>
    <w:basedOn w:val="Tekstpodstawowy"/>
    <w:pPr>
      <w:spacing w:before="36" w:after="36"/>
    </w:pPr>
  </w:style>
  <w:style w:type="paragraph" w:styleId="Tytu">
    <w:name w:val="Title"/>
    <w:basedOn w:val="Normalny"/>
    <w:next w:val="Normalny"/>
    <w:link w:val="TytuZnak"/>
    <w:uiPriority w:val="10"/>
    <w:qFormat/>
    <w:rsid w:val="005A5AEF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AEF"/>
    <w:pPr>
      <w:spacing w:before="0" w:after="500" w:line="240" w:lineRule="auto"/>
    </w:pPr>
    <w:rPr>
      <w:caps/>
      <w:color w:val="337FD4" w:themeColor="text1" w:themeTint="A6"/>
      <w:spacing w:val="10"/>
      <w:sz w:val="21"/>
      <w:szCs w:val="21"/>
    </w:rPr>
  </w:style>
  <w:style w:type="paragraph" w:customStyle="1" w:styleId="Author">
    <w:name w:val="Author"/>
    <w:next w:val="Tekstpodstawowy"/>
    <w:pPr>
      <w:keepNext/>
      <w:keepLines/>
      <w:jc w:val="center"/>
    </w:pPr>
  </w:style>
  <w:style w:type="paragraph" w:styleId="Data">
    <w:name w:val="Date"/>
    <w:next w:val="Tekstpodstawowy"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</w:style>
  <w:style w:type="paragraph" w:styleId="Tekstblokowy">
    <w:name w:val="Block Text"/>
    <w:basedOn w:val="Tekstpodstawowy"/>
    <w:next w:val="Tekstpodstawowy"/>
    <w:uiPriority w:val="9"/>
    <w:unhideWhenUsed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5A5AEF"/>
    <w:rPr>
      <w:b/>
      <w:bCs/>
      <w:color w:val="0B5294" w:themeColor="accent1" w:themeShade="BF"/>
      <w:sz w:val="16"/>
      <w:szCs w:val="16"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Pr>
      <w:b/>
      <w:bCs/>
      <w:color w:val="0B5294" w:themeColor="accent1" w:themeShade="BF"/>
      <w:sz w:val="16"/>
      <w:szCs w:val="16"/>
    </w:rPr>
  </w:style>
  <w:style w:type="character" w:customStyle="1" w:styleId="VerbatimChar">
    <w:name w:val="Verbatim Char"/>
    <w:basedOn w:val="LegendaZnak"/>
    <w:link w:val="SourceCode"/>
    <w:rPr>
      <w:rFonts w:ascii="Consolas" w:hAnsi="Consolas"/>
      <w:b/>
      <w:bCs/>
      <w:color w:val="0B5294" w:themeColor="accent1" w:themeShade="BF"/>
      <w:sz w:val="22"/>
      <w:szCs w:val="16"/>
    </w:rPr>
  </w:style>
  <w:style w:type="character" w:styleId="Odwoanieprzypisudolnego">
    <w:name w:val="footnote reference"/>
    <w:basedOn w:val="LegendaZnak"/>
    <w:rPr>
      <w:b/>
      <w:bCs/>
      <w:color w:val="0B5294" w:themeColor="accent1" w:themeShade="BF"/>
      <w:sz w:val="16"/>
      <w:szCs w:val="16"/>
      <w:vertAlign w:val="superscript"/>
    </w:rPr>
  </w:style>
  <w:style w:type="character" w:styleId="Hipercze">
    <w:name w:val="Hyperlink"/>
    <w:basedOn w:val="LegendaZnak"/>
    <w:rPr>
      <w:b/>
      <w:bCs/>
      <w:color w:val="0F6FC6" w:themeColor="accent1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5AEF"/>
    <w:pPr>
      <w:outlineLvl w:val="9"/>
    </w:pPr>
  </w:style>
  <w:style w:type="character" w:customStyle="1" w:styleId="Nagwek1Znak">
    <w:name w:val="Nagłówek 1 Znak"/>
    <w:basedOn w:val="Domylnaczcionkaakapitu"/>
    <w:link w:val="Nagwek1"/>
    <w:uiPriority w:val="9"/>
    <w:rsid w:val="00446B7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5A5AEF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5A5AEF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A5AEF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5A5AEF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5A5AEF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5A5AEF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5A5AE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5A5AEF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A5AEF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5A5AEF"/>
    <w:rPr>
      <w:caps/>
      <w:color w:val="337FD4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A5AEF"/>
    <w:rPr>
      <w:b/>
      <w:bCs/>
    </w:rPr>
  </w:style>
  <w:style w:type="character" w:styleId="Uwydatnienie">
    <w:name w:val="Emphasis"/>
    <w:uiPriority w:val="20"/>
    <w:qFormat/>
    <w:rsid w:val="005A5AEF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5A5AE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5AE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A5AEF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5AEF"/>
    <w:pPr>
      <w:spacing w:before="240" w:line="240" w:lineRule="auto"/>
      <w:ind w:left="1080" w:right="1080"/>
      <w:jc w:val="center"/>
    </w:pPr>
    <w:rPr>
      <w:color w:val="0F6FC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5AEF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5A5AEF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5A5AEF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5A5AEF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5A5AEF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5A5AEF"/>
    <w:rPr>
      <w:b/>
      <w:bCs/>
      <w:i/>
      <w:iCs/>
      <w:spacing w:val="0"/>
    </w:rPr>
  </w:style>
  <w:style w:type="paragraph" w:customStyle="1" w:styleId="SourceCode">
    <w:name w:val="Source Cod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bCs/>
      <w:color w:val="007020"/>
      <w:sz w:val="22"/>
      <w:szCs w:val="16"/>
    </w:rPr>
  </w:style>
  <w:style w:type="character" w:customStyle="1" w:styleId="DataTypeTok">
    <w:name w:val="DataTypeTok"/>
    <w:basedOn w:val="VerbatimChar"/>
    <w:rPr>
      <w:rFonts w:ascii="Consolas" w:hAnsi="Consolas"/>
      <w:b/>
      <w:bCs/>
      <w:color w:val="902000"/>
      <w:sz w:val="22"/>
      <w:szCs w:val="16"/>
    </w:rPr>
  </w:style>
  <w:style w:type="character" w:customStyle="1" w:styleId="DecValTok">
    <w:name w:val="DecVal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BaseNTok">
    <w:name w:val="BaseN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FloatTok">
    <w:name w:val="Float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ConstantTok">
    <w:name w:val="ConstantTok"/>
    <w:basedOn w:val="VerbatimChar"/>
    <w:rPr>
      <w:rFonts w:ascii="Consolas" w:hAnsi="Consolas"/>
      <w:b/>
      <w:bCs/>
      <w:color w:val="880000"/>
      <w:sz w:val="22"/>
      <w:szCs w:val="16"/>
    </w:rPr>
  </w:style>
  <w:style w:type="character" w:customStyle="1" w:styleId="CharTok">
    <w:name w:val="Char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pecialCharTok">
    <w:name w:val="SpecialChar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tringTok">
    <w:name w:val="String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VerbatimStringTok">
    <w:name w:val="VerbatimString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pecialStringTok">
    <w:name w:val="SpecialStringTok"/>
    <w:basedOn w:val="VerbatimChar"/>
    <w:rPr>
      <w:rFonts w:ascii="Consolas" w:hAnsi="Consolas"/>
      <w:b/>
      <w:bCs/>
      <w:color w:val="BB6688"/>
      <w:sz w:val="22"/>
      <w:szCs w:val="16"/>
    </w:rPr>
  </w:style>
  <w:style w:type="character" w:customStyle="1" w:styleId="ImportTok">
    <w:name w:val="ImportTok"/>
    <w:basedOn w:val="VerbatimChar"/>
    <w:rPr>
      <w:rFonts w:ascii="Consolas" w:hAnsi="Consolas"/>
      <w:b/>
      <w:bCs/>
      <w:color w:val="0B5294" w:themeColor="accent1" w:themeShade="BF"/>
      <w:sz w:val="22"/>
      <w:szCs w:val="16"/>
    </w:rPr>
  </w:style>
  <w:style w:type="character" w:customStyle="1" w:styleId="CommentTok">
    <w:name w:val="Comment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DocumentationTok">
    <w:name w:val="DocumentationTok"/>
    <w:basedOn w:val="VerbatimChar"/>
    <w:rPr>
      <w:rFonts w:ascii="Consolas" w:hAnsi="Consolas"/>
      <w:b/>
      <w:bCs/>
      <w:i/>
      <w:color w:val="BA2121"/>
      <w:sz w:val="22"/>
      <w:szCs w:val="16"/>
    </w:rPr>
  </w:style>
  <w:style w:type="character" w:customStyle="1" w:styleId="AnnotationTok">
    <w:name w:val="Annotation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CommentVarTok">
    <w:name w:val="CommentVar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OtherTok">
    <w:name w:val="OtherTok"/>
    <w:basedOn w:val="VerbatimChar"/>
    <w:rPr>
      <w:rFonts w:ascii="Consolas" w:hAnsi="Consolas"/>
      <w:b/>
      <w:bCs/>
      <w:color w:val="007020"/>
      <w:sz w:val="22"/>
      <w:szCs w:val="16"/>
    </w:rPr>
  </w:style>
  <w:style w:type="character" w:customStyle="1" w:styleId="FunctionTok">
    <w:name w:val="FunctionTok"/>
    <w:basedOn w:val="VerbatimChar"/>
    <w:rPr>
      <w:rFonts w:ascii="Consolas" w:hAnsi="Consolas"/>
      <w:b/>
      <w:bCs/>
      <w:color w:val="06287E"/>
      <w:sz w:val="22"/>
      <w:szCs w:val="16"/>
    </w:rPr>
  </w:style>
  <w:style w:type="character" w:customStyle="1" w:styleId="VariableTok">
    <w:name w:val="VariableTok"/>
    <w:basedOn w:val="VerbatimChar"/>
    <w:rPr>
      <w:rFonts w:ascii="Consolas" w:hAnsi="Consolas"/>
      <w:b/>
      <w:bCs/>
      <w:color w:val="19177C"/>
      <w:sz w:val="22"/>
      <w:szCs w:val="16"/>
    </w:rPr>
  </w:style>
  <w:style w:type="character" w:customStyle="1" w:styleId="ControlFlowTok">
    <w:name w:val="ControlFlowTok"/>
    <w:basedOn w:val="VerbatimChar"/>
    <w:rPr>
      <w:rFonts w:ascii="Consolas" w:hAnsi="Consolas"/>
      <w:b/>
      <w:bCs/>
      <w:color w:val="007020"/>
      <w:sz w:val="22"/>
      <w:szCs w:val="16"/>
    </w:rPr>
  </w:style>
  <w:style w:type="character" w:customStyle="1" w:styleId="OperatorTok">
    <w:name w:val="OperatorTok"/>
    <w:basedOn w:val="VerbatimChar"/>
    <w:rPr>
      <w:rFonts w:ascii="Consolas" w:hAnsi="Consolas"/>
      <w:b/>
      <w:bCs/>
      <w:color w:val="666666"/>
      <w:sz w:val="22"/>
      <w:szCs w:val="16"/>
    </w:rPr>
  </w:style>
  <w:style w:type="character" w:customStyle="1" w:styleId="BuiltInTok">
    <w:name w:val="BuiltInTok"/>
    <w:basedOn w:val="VerbatimChar"/>
    <w:rPr>
      <w:rFonts w:ascii="Consolas" w:hAnsi="Consolas"/>
      <w:b/>
      <w:bCs/>
      <w:color w:val="0B5294" w:themeColor="accent1" w:themeShade="BF"/>
      <w:sz w:val="22"/>
      <w:szCs w:val="16"/>
    </w:rPr>
  </w:style>
  <w:style w:type="character" w:customStyle="1" w:styleId="ExtensionTok">
    <w:name w:val="ExtensionTok"/>
    <w:basedOn w:val="VerbatimChar"/>
    <w:rPr>
      <w:rFonts w:ascii="Consolas" w:hAnsi="Consolas"/>
      <w:b/>
      <w:bCs/>
      <w:color w:val="0B5294" w:themeColor="accent1" w:themeShade="BF"/>
      <w:sz w:val="22"/>
      <w:szCs w:val="16"/>
    </w:rPr>
  </w:style>
  <w:style w:type="character" w:customStyle="1" w:styleId="PreprocessorTok">
    <w:name w:val="PreprocessorTok"/>
    <w:basedOn w:val="VerbatimChar"/>
    <w:rPr>
      <w:rFonts w:ascii="Consolas" w:hAnsi="Consolas"/>
      <w:b/>
      <w:bCs/>
      <w:color w:val="BC7A00"/>
      <w:sz w:val="22"/>
      <w:szCs w:val="16"/>
    </w:rPr>
  </w:style>
  <w:style w:type="character" w:customStyle="1" w:styleId="AttributeTok">
    <w:name w:val="AttributeTok"/>
    <w:basedOn w:val="VerbatimChar"/>
    <w:rPr>
      <w:rFonts w:ascii="Consolas" w:hAnsi="Consolas"/>
      <w:b/>
      <w:bCs/>
      <w:color w:val="7D9029"/>
      <w:sz w:val="22"/>
      <w:szCs w:val="16"/>
    </w:rPr>
  </w:style>
  <w:style w:type="character" w:customStyle="1" w:styleId="RegionMarkerTok">
    <w:name w:val="RegionMarkerTok"/>
    <w:basedOn w:val="VerbatimChar"/>
    <w:rPr>
      <w:rFonts w:ascii="Consolas" w:hAnsi="Consolas"/>
      <w:b/>
      <w:bCs/>
      <w:color w:val="0B5294" w:themeColor="accent1" w:themeShade="BF"/>
      <w:sz w:val="22"/>
      <w:szCs w:val="16"/>
    </w:rPr>
  </w:style>
  <w:style w:type="character" w:customStyle="1" w:styleId="InformationTok">
    <w:name w:val="Information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WarningTok">
    <w:name w:val="Warning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AlertTok">
    <w:name w:val="AlertTok"/>
    <w:basedOn w:val="VerbatimChar"/>
    <w:rPr>
      <w:rFonts w:ascii="Consolas" w:hAnsi="Consolas"/>
      <w:b/>
      <w:bCs/>
      <w:color w:val="FF0000"/>
      <w:sz w:val="22"/>
      <w:szCs w:val="16"/>
    </w:rPr>
  </w:style>
  <w:style w:type="character" w:customStyle="1" w:styleId="ErrorTok">
    <w:name w:val="ErrorTok"/>
    <w:basedOn w:val="VerbatimChar"/>
    <w:rPr>
      <w:rFonts w:ascii="Consolas" w:hAnsi="Consolas"/>
      <w:b/>
      <w:bCs/>
      <w:color w:val="FF0000"/>
      <w:sz w:val="22"/>
      <w:szCs w:val="16"/>
    </w:rPr>
  </w:style>
  <w:style w:type="character" w:customStyle="1" w:styleId="NormalTok">
    <w:name w:val="NormalTok"/>
    <w:basedOn w:val="VerbatimChar"/>
    <w:rPr>
      <w:rFonts w:ascii="Consolas" w:hAnsi="Consolas"/>
      <w:b/>
      <w:bCs/>
      <w:color w:val="0B5294" w:themeColor="accent1" w:themeShade="BF"/>
      <w:sz w:val="22"/>
      <w:szCs w:val="16"/>
    </w:rPr>
  </w:style>
  <w:style w:type="paragraph" w:styleId="Nagwek">
    <w:name w:val="header"/>
    <w:basedOn w:val="Normalny"/>
    <w:link w:val="NagwekZnak"/>
    <w:unhideWhenUsed/>
    <w:rsid w:val="00583B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02CFB"/>
  </w:style>
  <w:style w:type="character" w:customStyle="1" w:styleId="NagwekZnak">
    <w:name w:val="Nagłówek Znak"/>
    <w:basedOn w:val="Domylnaczcionkaakapitu"/>
    <w:link w:val="Nagwek"/>
    <w:rsid w:val="00583B03"/>
  </w:style>
  <w:style w:type="paragraph" w:styleId="Stopka">
    <w:name w:val="footer"/>
    <w:basedOn w:val="Normalny"/>
    <w:link w:val="StopkaZnak"/>
    <w:uiPriority w:val="99"/>
    <w:unhideWhenUsed/>
    <w:rsid w:val="00583B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B03"/>
  </w:style>
  <w:style w:type="character" w:styleId="Nierozpoznanawzmianka">
    <w:name w:val="Unresolved Mention"/>
    <w:basedOn w:val="Domylnaczcionkaakapitu"/>
    <w:uiPriority w:val="99"/>
    <w:semiHidden/>
    <w:unhideWhenUsed/>
    <w:rsid w:val="00583B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3.xml" /><Relationship Id="rId10" Type="http://schemas.openxmlformats.org/officeDocument/2006/relationships/header" Target="header2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footer" Target="footer1.xml" /><Relationship Id="rId14" Type="http://schemas.openxmlformats.org/officeDocument/2006/relationships/footer" Target="footer3.xml" /><Relationship Type="http://schemas.openxmlformats.org/officeDocument/2006/relationships/hyperlink" Id="rId34" Target="/cdn-cgi/l/email-protection" TargetMode="External" /><Relationship Type="http://schemas.openxmlformats.org/officeDocument/2006/relationships/hyperlink" Id="rId32" Target="https://discovery.ariba.com/profile/AN01053928574" TargetMode="External" /><Relationship Type="http://schemas.openxmlformats.org/officeDocument/2006/relationships/hyperlink" Id="rId30" Target="https://pliki.progressproject.pl/pliki/img/common/oswiadczenie_o_finansowaniu_wzor_13.09.2019.docx" TargetMode="External" /><Relationship Type="http://schemas.openxmlformats.org/officeDocument/2006/relationships/hyperlink" Id="rId31" Target="https://uslugirozwojowe.parp.gov.pl/wyszukiwarka/dostawca-uslug/podglad?id=7223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4" Target="/cdn-cgi/l/email-protection" TargetMode="External" /><Relationship Type="http://schemas.openxmlformats.org/officeDocument/2006/relationships/hyperlink" Id="rId32" Target="https://discovery.ariba.com/profile/AN01053928574" TargetMode="External" /><Relationship Type="http://schemas.openxmlformats.org/officeDocument/2006/relationships/hyperlink" Id="rId30" Target="https://pliki.progressproject.pl/pliki/img/common/oswiadczenie_o_finansowaniu_wzor_13.09.2019.docx" TargetMode="External" /><Relationship Type="http://schemas.openxmlformats.org/officeDocument/2006/relationships/hyperlink" Id="rId31" Target="https://uslugirozwojowe.parp.gov.pl/wyszukiwarka/dostawca-uslug/podglad?id=7223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rogressProject">
      <a:dk1>
        <a:srgbClr val="17406D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4119</TotalTime>
  <Pages>7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Controlling w logistyce - Controlling operacyjny</vt:lpstr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Onboarding - Wdrożenie nowego pracownika do organizacji</dc:title>
  <dc:creator/>
  <cp:keywords/>
  <dcterms:created xsi:type="dcterms:W3CDTF">2025-03-24T18:46:53Z</dcterms:created>
  <dcterms:modified xsi:type="dcterms:W3CDTF">2025-03-24T18:46:53Z</dcterms:modified>
</cp:coreProperties>
</file>